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8E451" w14:textId="77777777" w:rsidR="00F96398" w:rsidRPr="009E282A" w:rsidRDefault="00F96398" w:rsidP="00F96398">
      <w:pPr>
        <w:rPr>
          <w:rFonts w:ascii="Times New Roman" w:hAnsi="Times New Roman" w:cs="Times New Roman"/>
          <w:b/>
        </w:rPr>
      </w:pPr>
      <w:r w:rsidRPr="009E282A">
        <w:rPr>
          <w:rFonts w:ascii="Times New Roman" w:hAnsi="Times New Roman" w:cs="Times New Roman"/>
          <w:b/>
        </w:rPr>
        <w:t>Zamach na ideę budowy Europy Społecznej</w:t>
      </w:r>
    </w:p>
    <w:p w14:paraId="1424AF61" w14:textId="25272AB5" w:rsidR="00F96398" w:rsidRPr="009E282A" w:rsidRDefault="00F96398" w:rsidP="009E282A">
      <w:pPr>
        <w:rPr>
          <w:rFonts w:ascii="Times New Roman" w:hAnsi="Times New Roman" w:cs="Times New Roman"/>
          <w:b/>
        </w:rPr>
      </w:pPr>
      <w:r w:rsidRPr="009E282A">
        <w:rPr>
          <w:rFonts w:ascii="Times New Roman" w:hAnsi="Times New Roman" w:cs="Times New Roman"/>
          <w:b/>
        </w:rPr>
        <w:t xml:space="preserve">Unijna dyrektywa dotycząca godnych płac minimalnych i wzmocnienia </w:t>
      </w:r>
      <w:r w:rsidR="006A2ED2">
        <w:rPr>
          <w:rFonts w:ascii="Times New Roman" w:hAnsi="Times New Roman" w:cs="Times New Roman"/>
          <w:b/>
        </w:rPr>
        <w:t>rokowań</w:t>
      </w:r>
      <w:r w:rsidRPr="009E282A">
        <w:rPr>
          <w:rFonts w:ascii="Times New Roman" w:hAnsi="Times New Roman" w:cs="Times New Roman"/>
          <w:b/>
        </w:rPr>
        <w:t xml:space="preserve"> zbiorowych</w:t>
      </w:r>
      <w:r w:rsidR="009E282A">
        <w:rPr>
          <w:rFonts w:ascii="Times New Roman" w:hAnsi="Times New Roman" w:cs="Times New Roman"/>
          <w:b/>
        </w:rPr>
        <w:t xml:space="preserve"> przyjęta jesienią 2023 r.</w:t>
      </w:r>
      <w:r w:rsidRPr="009E282A">
        <w:rPr>
          <w:rFonts w:ascii="Times New Roman" w:hAnsi="Times New Roman" w:cs="Times New Roman"/>
          <w:b/>
        </w:rPr>
        <w:t xml:space="preserve"> jest </w:t>
      </w:r>
      <w:r w:rsidR="009E282A">
        <w:rPr>
          <w:rFonts w:ascii="Times New Roman" w:hAnsi="Times New Roman" w:cs="Times New Roman"/>
          <w:b/>
        </w:rPr>
        <w:t xml:space="preserve">pozytywnym </w:t>
      </w:r>
      <w:r w:rsidRPr="009E282A">
        <w:rPr>
          <w:rFonts w:ascii="Times New Roman" w:hAnsi="Times New Roman" w:cs="Times New Roman"/>
          <w:b/>
        </w:rPr>
        <w:t>przełomem w prawie pracy UE, zwłaszcza dla takich krajów jak Polska</w:t>
      </w:r>
      <w:r w:rsidR="006A2ED2">
        <w:rPr>
          <w:rFonts w:ascii="Times New Roman" w:hAnsi="Times New Roman" w:cs="Times New Roman"/>
          <w:b/>
        </w:rPr>
        <w:t>, gdzie rządy nie doceniają znaczenia układów zbiorowych pracy</w:t>
      </w:r>
      <w:r w:rsidRPr="009E282A">
        <w:rPr>
          <w:rFonts w:ascii="Times New Roman" w:hAnsi="Times New Roman" w:cs="Times New Roman"/>
          <w:b/>
        </w:rPr>
        <w:t xml:space="preserve">. W styczniu 2025 r. została ona zakwestionowana przez rzecznika generalnego Trybunału Sprawiedliwości UE, co może </w:t>
      </w:r>
      <w:r w:rsidR="00242D02">
        <w:rPr>
          <w:rFonts w:ascii="Times New Roman" w:hAnsi="Times New Roman" w:cs="Times New Roman"/>
          <w:b/>
        </w:rPr>
        <w:t>doprowadzić do  jej odrzucenia</w:t>
      </w:r>
      <w:bookmarkStart w:id="0" w:name="_GoBack"/>
      <w:bookmarkEnd w:id="0"/>
      <w:r w:rsidRPr="009E282A">
        <w:rPr>
          <w:rFonts w:ascii="Times New Roman" w:hAnsi="Times New Roman" w:cs="Times New Roman"/>
          <w:b/>
        </w:rPr>
        <w:t xml:space="preserve">. Spotkało się to z silną negatywną reakcją europejskich związków zawodowych. Piotr Duda jednoznacznie określił to jako próbę podważenia idei Europy Społecznej. Poniżej prezentujemy </w:t>
      </w:r>
      <w:r w:rsidR="009E282A" w:rsidRPr="009E282A">
        <w:rPr>
          <w:rFonts w:ascii="Times New Roman" w:hAnsi="Times New Roman" w:cs="Times New Roman"/>
          <w:b/>
        </w:rPr>
        <w:t>za zgodą</w:t>
      </w:r>
      <w:r w:rsidRPr="009E282A">
        <w:rPr>
          <w:rFonts w:ascii="Times New Roman" w:hAnsi="Times New Roman" w:cs="Times New Roman"/>
          <w:b/>
        </w:rPr>
        <w:t xml:space="preserve"> autorów </w:t>
      </w:r>
      <w:r w:rsidR="009E282A" w:rsidRPr="009E282A">
        <w:rPr>
          <w:rFonts w:ascii="Times New Roman" w:hAnsi="Times New Roman" w:cs="Times New Roman"/>
          <w:b/>
        </w:rPr>
        <w:t>–</w:t>
      </w:r>
      <w:r w:rsidRPr="009E282A">
        <w:rPr>
          <w:rFonts w:ascii="Times New Roman" w:hAnsi="Times New Roman" w:cs="Times New Roman"/>
          <w:b/>
        </w:rPr>
        <w:t xml:space="preserve"> </w:t>
      </w:r>
      <w:r w:rsidR="009E282A" w:rsidRPr="009E282A">
        <w:rPr>
          <w:rFonts w:ascii="Times New Roman" w:hAnsi="Times New Roman" w:cs="Times New Roman"/>
          <w:b/>
        </w:rPr>
        <w:t xml:space="preserve">uznanych </w:t>
      </w:r>
      <w:r w:rsidRPr="009E282A">
        <w:rPr>
          <w:rFonts w:ascii="Times New Roman" w:hAnsi="Times New Roman" w:cs="Times New Roman"/>
          <w:b/>
        </w:rPr>
        <w:t>ekspertów stosunków przemysłowych, krótki tekst wyjaśniający obecną sytuację.</w:t>
      </w:r>
    </w:p>
    <w:p w14:paraId="30676B7A" w14:textId="143254E8" w:rsidR="00970CAB" w:rsidRPr="009E282A" w:rsidRDefault="001702E1" w:rsidP="00461A02">
      <w:pPr>
        <w:spacing w:line="360" w:lineRule="auto"/>
        <w:jc w:val="both"/>
        <w:rPr>
          <w:rFonts w:ascii="Times New Roman" w:hAnsi="Times New Roman" w:cs="Times New Roman"/>
        </w:rPr>
      </w:pPr>
      <w:r w:rsidRPr="009E282A">
        <w:rPr>
          <w:rFonts w:ascii="Times New Roman" w:hAnsi="Times New Roman" w:cs="Times New Roman"/>
          <w:b/>
          <w:bCs/>
        </w:rPr>
        <w:t>Unijna dyrektywa</w:t>
      </w:r>
      <w:r w:rsidR="00970CAB" w:rsidRPr="009E282A">
        <w:rPr>
          <w:rFonts w:ascii="Times New Roman" w:hAnsi="Times New Roman" w:cs="Times New Roman"/>
          <w:b/>
          <w:bCs/>
        </w:rPr>
        <w:t xml:space="preserve"> o</w:t>
      </w:r>
      <w:r w:rsidRPr="009E282A">
        <w:rPr>
          <w:rFonts w:ascii="Times New Roman" w:hAnsi="Times New Roman" w:cs="Times New Roman"/>
          <w:b/>
          <w:bCs/>
        </w:rPr>
        <w:t xml:space="preserve"> adekwatnej</w:t>
      </w:r>
      <w:r w:rsidR="00970CAB" w:rsidRPr="009E282A">
        <w:rPr>
          <w:rFonts w:ascii="Times New Roman" w:hAnsi="Times New Roman" w:cs="Times New Roman"/>
          <w:b/>
          <w:bCs/>
        </w:rPr>
        <w:t xml:space="preserve"> płacy minimalnej przed</w:t>
      </w:r>
      <w:r w:rsidR="00AC50B8" w:rsidRPr="009E282A">
        <w:rPr>
          <w:rFonts w:ascii="Times New Roman" w:hAnsi="Times New Roman" w:cs="Times New Roman"/>
          <w:b/>
          <w:bCs/>
        </w:rPr>
        <w:t xml:space="preserve"> Trybunałem Sprawiedliwości U</w:t>
      </w:r>
      <w:r w:rsidR="00C90C71" w:rsidRPr="009E282A">
        <w:rPr>
          <w:rFonts w:ascii="Times New Roman" w:hAnsi="Times New Roman" w:cs="Times New Roman"/>
          <w:b/>
          <w:bCs/>
        </w:rPr>
        <w:t>E</w:t>
      </w:r>
      <w:r w:rsidR="00970CAB" w:rsidRPr="009E282A">
        <w:rPr>
          <w:rFonts w:ascii="Times New Roman" w:hAnsi="Times New Roman" w:cs="Times New Roman"/>
          <w:b/>
          <w:bCs/>
        </w:rPr>
        <w:t>:</w:t>
      </w:r>
      <w:r w:rsidR="00970CAB" w:rsidRPr="009E282A">
        <w:rPr>
          <w:rFonts w:ascii="Times New Roman" w:hAnsi="Times New Roman" w:cs="Times New Roman"/>
        </w:rPr>
        <w:t xml:space="preserve"> </w:t>
      </w:r>
      <w:r w:rsidR="00970CAB" w:rsidRPr="009E282A">
        <w:rPr>
          <w:rFonts w:ascii="Times New Roman" w:hAnsi="Times New Roman" w:cs="Times New Roman"/>
          <w:b/>
          <w:bCs/>
        </w:rPr>
        <w:t>To jeszcze nie koniec...</w:t>
      </w:r>
    </w:p>
    <w:p w14:paraId="0A92EAC2" w14:textId="68AAD287" w:rsidR="00970CAB" w:rsidRPr="009E282A" w:rsidRDefault="00970CAB" w:rsidP="00461A02">
      <w:pPr>
        <w:spacing w:line="360" w:lineRule="auto"/>
        <w:jc w:val="both"/>
        <w:rPr>
          <w:rFonts w:ascii="Times New Roman" w:hAnsi="Times New Roman" w:cs="Times New Roman"/>
        </w:rPr>
      </w:pPr>
      <w:r w:rsidRPr="009E282A">
        <w:rPr>
          <w:rFonts w:ascii="Times New Roman" w:hAnsi="Times New Roman" w:cs="Times New Roman"/>
          <w:b/>
          <w:bCs/>
        </w:rPr>
        <w:t xml:space="preserve">Unijna dyrektywa o </w:t>
      </w:r>
      <w:r w:rsidR="00C90C71" w:rsidRPr="009E282A">
        <w:rPr>
          <w:rFonts w:ascii="Times New Roman" w:hAnsi="Times New Roman" w:cs="Times New Roman"/>
          <w:b/>
          <w:bCs/>
        </w:rPr>
        <w:t xml:space="preserve">adekwatnej </w:t>
      </w:r>
      <w:r w:rsidRPr="009E282A">
        <w:rPr>
          <w:rFonts w:ascii="Times New Roman" w:hAnsi="Times New Roman" w:cs="Times New Roman"/>
          <w:b/>
          <w:bCs/>
        </w:rPr>
        <w:t>płacy minimalnej zagrożona:</w:t>
      </w:r>
      <w:r w:rsidRPr="009E282A">
        <w:rPr>
          <w:rFonts w:ascii="Times New Roman" w:hAnsi="Times New Roman" w:cs="Times New Roman"/>
        </w:rPr>
        <w:t xml:space="preserve"> </w:t>
      </w:r>
      <w:r w:rsidRPr="009E282A">
        <w:rPr>
          <w:rFonts w:ascii="Times New Roman" w:hAnsi="Times New Roman" w:cs="Times New Roman"/>
          <w:b/>
          <w:bCs/>
        </w:rPr>
        <w:t>Opinia rzecznika generalnego wywołuje prawne i społeczne zamieszanie w całej Europie.</w:t>
      </w:r>
    </w:p>
    <w:p w14:paraId="21284900" w14:textId="2AB0B896" w:rsidR="000320FB" w:rsidRPr="009E282A" w:rsidRDefault="00970CAB" w:rsidP="00461A02">
      <w:pPr>
        <w:spacing w:line="360" w:lineRule="auto"/>
        <w:jc w:val="both"/>
        <w:rPr>
          <w:rFonts w:ascii="Times New Roman" w:hAnsi="Times New Roman" w:cs="Times New Roman"/>
        </w:rPr>
      </w:pPr>
      <w:r w:rsidRPr="009E282A">
        <w:rPr>
          <w:rFonts w:ascii="Times New Roman" w:hAnsi="Times New Roman" w:cs="Times New Roman"/>
        </w:rPr>
        <w:t>Wielu zwolen</w:t>
      </w:r>
      <w:r w:rsidR="00972864" w:rsidRPr="009E282A">
        <w:rPr>
          <w:rFonts w:ascii="Times New Roman" w:hAnsi="Times New Roman" w:cs="Times New Roman"/>
        </w:rPr>
        <w:t>ników Europy Społecznej</w:t>
      </w:r>
      <w:r w:rsidRPr="009E282A">
        <w:rPr>
          <w:rFonts w:ascii="Times New Roman" w:hAnsi="Times New Roman" w:cs="Times New Roman"/>
        </w:rPr>
        <w:t xml:space="preserve"> przeżyło szok, gdy 14 stycznia 2025 r. rzecznik generalny Trybunału Sprawiedliwości Unii Europejskiej (TSUE), cypryjski sędzia Nicholas </w:t>
      </w:r>
      <w:proofErr w:type="spellStart"/>
      <w:r w:rsidRPr="009E282A">
        <w:rPr>
          <w:rFonts w:ascii="Times New Roman" w:hAnsi="Times New Roman" w:cs="Times New Roman"/>
        </w:rPr>
        <w:t>Emiliou</w:t>
      </w:r>
      <w:proofErr w:type="spellEnd"/>
      <w:r w:rsidRPr="009E282A">
        <w:rPr>
          <w:rFonts w:ascii="Times New Roman" w:hAnsi="Times New Roman" w:cs="Times New Roman"/>
        </w:rPr>
        <w:t xml:space="preserve">, przedstawił swoją </w:t>
      </w:r>
      <w:hyperlink r:id="rId5" w:history="1">
        <w:r w:rsidRPr="009E282A">
          <w:rPr>
            <w:rStyle w:val="Hipercze"/>
            <w:rFonts w:ascii="Times New Roman" w:hAnsi="Times New Roman" w:cs="Times New Roman"/>
          </w:rPr>
          <w:t>opinię</w:t>
        </w:r>
      </w:hyperlink>
      <w:r w:rsidRPr="009E282A">
        <w:rPr>
          <w:rFonts w:ascii="Times New Roman" w:hAnsi="Times New Roman" w:cs="Times New Roman"/>
        </w:rPr>
        <w:t xml:space="preserve"> w sprawie europejskiej dyrektywy o</w:t>
      </w:r>
      <w:r w:rsidR="00595C7D" w:rsidRPr="009E282A">
        <w:rPr>
          <w:rFonts w:ascii="Times New Roman" w:hAnsi="Times New Roman" w:cs="Times New Roman"/>
        </w:rPr>
        <w:t xml:space="preserve"> adekwatnej</w:t>
      </w:r>
      <w:r w:rsidRPr="009E282A">
        <w:rPr>
          <w:rFonts w:ascii="Times New Roman" w:hAnsi="Times New Roman" w:cs="Times New Roman"/>
        </w:rPr>
        <w:t xml:space="preserve"> płacy minimalnej. W swojej ocenie stwierdził, że dyrektywa jest niezgodna z prawem UE i w związku z tym powinna zostać unieważniona. Opinia ta może mieć tragiczne konsekwencje dla jednego z najważniejszych aktów prawa  UE</w:t>
      </w:r>
      <w:r w:rsidR="00595C7D" w:rsidRPr="009E282A">
        <w:rPr>
          <w:rFonts w:ascii="Times New Roman" w:hAnsi="Times New Roman" w:cs="Times New Roman"/>
        </w:rPr>
        <w:t xml:space="preserve"> w sferze socjalnej</w:t>
      </w:r>
      <w:r w:rsidRPr="009E282A">
        <w:rPr>
          <w:rFonts w:ascii="Times New Roman" w:hAnsi="Times New Roman" w:cs="Times New Roman"/>
        </w:rPr>
        <w:t xml:space="preserve">, potencjalnie podważając legitymację Unii. Należy jednak </w:t>
      </w:r>
      <w:r w:rsidR="00B86A9D" w:rsidRPr="009E282A">
        <w:rPr>
          <w:rFonts w:ascii="Times New Roman" w:hAnsi="Times New Roman" w:cs="Times New Roman"/>
        </w:rPr>
        <w:t>pamiętać</w:t>
      </w:r>
      <w:r w:rsidRPr="009E282A">
        <w:rPr>
          <w:rFonts w:ascii="Times New Roman" w:hAnsi="Times New Roman" w:cs="Times New Roman"/>
        </w:rPr>
        <w:t>, że gra jeszcze się nie skończyła!</w:t>
      </w:r>
    </w:p>
    <w:p w14:paraId="55E9730C" w14:textId="77777777" w:rsidR="00970CAB" w:rsidRPr="009E282A" w:rsidRDefault="00970CAB" w:rsidP="00461A02">
      <w:pPr>
        <w:spacing w:line="360" w:lineRule="auto"/>
        <w:jc w:val="both"/>
        <w:rPr>
          <w:rFonts w:ascii="Times New Roman" w:hAnsi="Times New Roman" w:cs="Times New Roman"/>
        </w:rPr>
      </w:pPr>
      <w:r w:rsidRPr="009E282A">
        <w:rPr>
          <w:rFonts w:ascii="Times New Roman" w:hAnsi="Times New Roman" w:cs="Times New Roman"/>
          <w:b/>
          <w:bCs/>
        </w:rPr>
        <w:t>Działania prawne przeciwko unijnej dyrektywie o płacy minimalnej</w:t>
      </w:r>
    </w:p>
    <w:p w14:paraId="77EF7DAE" w14:textId="4FD66FC9" w:rsidR="00970CAB" w:rsidRPr="009E282A" w:rsidRDefault="00970CAB" w:rsidP="00461A02">
      <w:pPr>
        <w:spacing w:line="360" w:lineRule="auto"/>
        <w:jc w:val="both"/>
        <w:rPr>
          <w:rFonts w:ascii="Times New Roman" w:hAnsi="Times New Roman" w:cs="Times New Roman"/>
        </w:rPr>
      </w:pPr>
      <w:r w:rsidRPr="009E282A">
        <w:rPr>
          <w:rFonts w:ascii="Times New Roman" w:hAnsi="Times New Roman" w:cs="Times New Roman"/>
        </w:rPr>
        <w:t>Rada Europejska przyjęła „</w:t>
      </w:r>
      <w:hyperlink r:id="rId6" w:history="1">
        <w:r w:rsidRPr="009E282A">
          <w:rPr>
            <w:rStyle w:val="Hipercze"/>
            <w:rFonts w:ascii="Times New Roman" w:hAnsi="Times New Roman" w:cs="Times New Roman"/>
          </w:rPr>
          <w:t>Dyrektywę (UE 2022/2041) w sprawie adekwatnych wynagrodzeń minimalnych w Unii Europejskiej</w:t>
        </w:r>
      </w:hyperlink>
      <w:r w:rsidRPr="009E282A">
        <w:rPr>
          <w:rFonts w:ascii="Times New Roman" w:hAnsi="Times New Roman" w:cs="Times New Roman"/>
        </w:rPr>
        <w:t xml:space="preserve">” przy poparciu 24 z 27 państw członkowskich. </w:t>
      </w:r>
      <w:hyperlink r:id="rId7" w:history="1">
        <w:r w:rsidRPr="009E282A">
          <w:rPr>
            <w:rStyle w:val="Hipercze"/>
            <w:rFonts w:ascii="Times New Roman" w:hAnsi="Times New Roman" w:cs="Times New Roman"/>
          </w:rPr>
          <w:t>Dyrektywa ma na celu</w:t>
        </w:r>
      </w:hyperlink>
      <w:r w:rsidRPr="009E282A">
        <w:rPr>
          <w:rFonts w:ascii="Times New Roman" w:hAnsi="Times New Roman" w:cs="Times New Roman"/>
        </w:rPr>
        <w:t xml:space="preserve"> ustanowienie ram dla zapewnienia odpowiedniego poziomu płacy minimalnej i promowania negocjacji zbiorowych. Dania i Szwecja były jedynymi krajami, które głosowały przeciwko jej przyjęciu, powołując się na obawy, że dyrektywa może zagrozić ich krajowym modelom autonomicznych stosunków p</w:t>
      </w:r>
      <w:r w:rsidR="005436C9" w:rsidRPr="009E282A">
        <w:rPr>
          <w:rFonts w:ascii="Times New Roman" w:hAnsi="Times New Roman" w:cs="Times New Roman"/>
        </w:rPr>
        <w:t>rzemysłowych</w:t>
      </w:r>
      <w:r w:rsidRPr="009E282A">
        <w:rPr>
          <w:rFonts w:ascii="Times New Roman" w:hAnsi="Times New Roman" w:cs="Times New Roman"/>
        </w:rPr>
        <w:t xml:space="preserve"> Na początku 2023 r. duński rząd, wspierany zarówno przez duńskie </w:t>
      </w:r>
      <w:r w:rsidR="005436C9" w:rsidRPr="009E282A">
        <w:rPr>
          <w:rFonts w:ascii="Times New Roman" w:hAnsi="Times New Roman" w:cs="Times New Roman"/>
        </w:rPr>
        <w:t>organizacje</w:t>
      </w:r>
      <w:r w:rsidRPr="009E282A">
        <w:rPr>
          <w:rFonts w:ascii="Times New Roman" w:hAnsi="Times New Roman" w:cs="Times New Roman"/>
        </w:rPr>
        <w:t xml:space="preserve"> pracodawców, jak i związki zawodowe, wniósł sprawę do TSUE (</w:t>
      </w:r>
      <w:hyperlink r:id="rId8" w:history="1">
        <w:r w:rsidRPr="009E282A">
          <w:rPr>
            <w:rStyle w:val="Hipercze"/>
            <w:rFonts w:ascii="Times New Roman" w:hAnsi="Times New Roman" w:cs="Times New Roman"/>
          </w:rPr>
          <w:t>sprawa C-19/23</w:t>
        </w:r>
      </w:hyperlink>
      <w:r w:rsidRPr="009E282A">
        <w:rPr>
          <w:rFonts w:ascii="Times New Roman" w:hAnsi="Times New Roman" w:cs="Times New Roman"/>
        </w:rPr>
        <w:t>).</w:t>
      </w:r>
      <w:r w:rsidR="00A025EF" w:rsidRPr="009E282A">
        <w:rPr>
          <w:rFonts w:ascii="Times New Roman" w:hAnsi="Times New Roman" w:cs="Times New Roman"/>
        </w:rPr>
        <w:t xml:space="preserve">  później dołączyła do sprawy Szwecja.</w:t>
      </w:r>
      <w:r w:rsidRPr="009E282A">
        <w:rPr>
          <w:rFonts w:ascii="Times New Roman" w:hAnsi="Times New Roman" w:cs="Times New Roman"/>
        </w:rPr>
        <w:t xml:space="preserve">  </w:t>
      </w:r>
      <w:r w:rsidR="00E01DE6" w:rsidRPr="009E282A">
        <w:rPr>
          <w:rFonts w:ascii="Times New Roman" w:hAnsi="Times New Roman" w:cs="Times New Roman"/>
        </w:rPr>
        <w:t>A</w:t>
      </w:r>
      <w:r w:rsidRPr="009E282A">
        <w:rPr>
          <w:rFonts w:ascii="Times New Roman" w:hAnsi="Times New Roman" w:cs="Times New Roman"/>
        </w:rPr>
        <w:t xml:space="preserve">rgumentacja </w:t>
      </w:r>
      <w:r w:rsidR="00E01DE6" w:rsidRPr="009E282A">
        <w:rPr>
          <w:rFonts w:ascii="Times New Roman" w:hAnsi="Times New Roman" w:cs="Times New Roman"/>
        </w:rPr>
        <w:t>obu państw wskazuje</w:t>
      </w:r>
      <w:r w:rsidRPr="009E282A">
        <w:rPr>
          <w:rFonts w:ascii="Times New Roman" w:hAnsi="Times New Roman" w:cs="Times New Roman"/>
        </w:rPr>
        <w:t xml:space="preserve"> że dyrektywa narusza art. 153 ust. 5 Traktatu o funkcjonowaniu Unii Europejskiej (TFUE), który ogranicza kompetencje UE w kwestii „wynagrodzenia”.</w:t>
      </w:r>
    </w:p>
    <w:p w14:paraId="39B572C0" w14:textId="7C0A620C" w:rsidR="00970CAB" w:rsidRPr="009E282A" w:rsidRDefault="00970CAB" w:rsidP="00461A02">
      <w:pPr>
        <w:spacing w:line="360" w:lineRule="auto"/>
        <w:jc w:val="both"/>
        <w:rPr>
          <w:rFonts w:ascii="Times New Roman" w:hAnsi="Times New Roman" w:cs="Times New Roman"/>
        </w:rPr>
      </w:pPr>
      <w:r w:rsidRPr="009E282A">
        <w:rPr>
          <w:rFonts w:ascii="Times New Roman" w:hAnsi="Times New Roman" w:cs="Times New Roman"/>
        </w:rPr>
        <w:t xml:space="preserve">W swojej </w:t>
      </w:r>
      <w:hyperlink r:id="rId9" w:history="1">
        <w:r w:rsidRPr="009E282A">
          <w:rPr>
            <w:rStyle w:val="Hipercze"/>
            <w:rFonts w:ascii="Times New Roman" w:hAnsi="Times New Roman" w:cs="Times New Roman"/>
          </w:rPr>
          <w:t>opinii</w:t>
        </w:r>
      </w:hyperlink>
      <w:r w:rsidRPr="009E282A">
        <w:rPr>
          <w:rFonts w:ascii="Times New Roman" w:hAnsi="Times New Roman" w:cs="Times New Roman"/>
        </w:rPr>
        <w:t xml:space="preserve"> rzecznik generalny zasadniczo zgodził się z argumentami Danii i Szwecji i zaproponował całkowite unieważnienie dyrektywy. Jego stanowisko stoi w wyraźnej sprzeczności z opiniami prawnymi wydanymi wcześniej przez Parlament Europejski, Radę i Komisję Europejską, które dokładnie analizowały podstawy prawne </w:t>
      </w:r>
      <w:r w:rsidR="003347F8" w:rsidRPr="009E282A">
        <w:rPr>
          <w:rFonts w:ascii="Times New Roman" w:hAnsi="Times New Roman" w:cs="Times New Roman"/>
        </w:rPr>
        <w:t xml:space="preserve"> wydania </w:t>
      </w:r>
      <w:r w:rsidRPr="009E282A">
        <w:rPr>
          <w:rFonts w:ascii="Times New Roman" w:hAnsi="Times New Roman" w:cs="Times New Roman"/>
        </w:rPr>
        <w:t>dyrektywy.</w:t>
      </w:r>
    </w:p>
    <w:p w14:paraId="033524AB" w14:textId="77777777" w:rsidR="00970CAB" w:rsidRPr="009E282A" w:rsidRDefault="00970CAB" w:rsidP="00461A02">
      <w:pPr>
        <w:spacing w:line="360" w:lineRule="auto"/>
        <w:jc w:val="both"/>
        <w:rPr>
          <w:rFonts w:ascii="Times New Roman" w:hAnsi="Times New Roman" w:cs="Times New Roman"/>
        </w:rPr>
      </w:pPr>
      <w:r w:rsidRPr="009E282A">
        <w:rPr>
          <w:rFonts w:ascii="Times New Roman" w:hAnsi="Times New Roman" w:cs="Times New Roman"/>
          <w:b/>
          <w:bCs/>
        </w:rPr>
        <w:t>Spór o art. 153 ust. 5 TFUE</w:t>
      </w:r>
    </w:p>
    <w:p w14:paraId="28CC6008" w14:textId="7BF7693B" w:rsidR="00970CAB" w:rsidRPr="009E282A" w:rsidRDefault="00970CAB" w:rsidP="00461A02">
      <w:pPr>
        <w:spacing w:line="360" w:lineRule="auto"/>
        <w:jc w:val="both"/>
        <w:rPr>
          <w:rFonts w:ascii="Times New Roman" w:hAnsi="Times New Roman" w:cs="Times New Roman"/>
        </w:rPr>
      </w:pPr>
      <w:r w:rsidRPr="009E282A">
        <w:rPr>
          <w:rFonts w:ascii="Times New Roman" w:hAnsi="Times New Roman" w:cs="Times New Roman"/>
        </w:rPr>
        <w:lastRenderedPageBreak/>
        <w:t xml:space="preserve">Sedno sporu prawnego koncentruje się na interpretacji art. 153 ust. 5 TFUE, który ogranicza kompetencje UE w odniesieniu do „wynagrodzenia”. Zgodnie z art. 153 ust. 1b TFUE, UE może „wspierać i uzupełniać” </w:t>
      </w:r>
      <w:r w:rsidR="0025693F" w:rsidRPr="009E282A">
        <w:rPr>
          <w:rFonts w:ascii="Times New Roman" w:hAnsi="Times New Roman" w:cs="Times New Roman"/>
        </w:rPr>
        <w:t>działania</w:t>
      </w:r>
      <w:r w:rsidRPr="009E282A">
        <w:rPr>
          <w:rFonts w:ascii="Times New Roman" w:hAnsi="Times New Roman" w:cs="Times New Roman"/>
        </w:rPr>
        <w:t xml:space="preserve"> państw członkowskich w dziedzinie warunków pracy, w tym kwestii płacowych. Biorąc pod uwagę, że wynagrodzenie jest podstawowym elementem warunków pracy, TSUE argumentował wcześniej w sprawach takich jak Del Cerro (</w:t>
      </w:r>
      <w:hyperlink r:id="rId10" w:history="1">
        <w:r w:rsidRPr="009E282A">
          <w:rPr>
            <w:rStyle w:val="Hipercze"/>
            <w:rFonts w:ascii="Times New Roman" w:hAnsi="Times New Roman" w:cs="Times New Roman"/>
          </w:rPr>
          <w:t>C-307/05</w:t>
        </w:r>
      </w:hyperlink>
      <w:r w:rsidRPr="009E282A">
        <w:rPr>
          <w:rFonts w:ascii="Times New Roman" w:hAnsi="Times New Roman" w:cs="Times New Roman"/>
        </w:rPr>
        <w:t xml:space="preserve">), że „wyjątek dotyczący »wynagrodzenia« nie może [...] zostać rozszerzony na wszelkie kwestie związane z jakimkolwiek powiązaniem z </w:t>
      </w:r>
      <w:r w:rsidR="001B6FC7" w:rsidRPr="009E282A">
        <w:rPr>
          <w:rFonts w:ascii="Times New Roman" w:hAnsi="Times New Roman" w:cs="Times New Roman"/>
        </w:rPr>
        <w:t>płacami</w:t>
      </w:r>
      <w:r w:rsidRPr="009E282A">
        <w:rPr>
          <w:rFonts w:ascii="Times New Roman" w:hAnsi="Times New Roman" w:cs="Times New Roman"/>
        </w:rPr>
        <w:t>; w przeciwnym razie niektóre obszary, o których mowa [153 ust. 1 TFUE], zostałyby pozbawione znacznej części swojej istoty”.</w:t>
      </w:r>
    </w:p>
    <w:p w14:paraId="438CD751" w14:textId="6AA16C1B" w:rsidR="00970CAB" w:rsidRPr="009E282A" w:rsidRDefault="00970CAB" w:rsidP="00461A02">
      <w:pPr>
        <w:spacing w:line="360" w:lineRule="auto"/>
        <w:jc w:val="both"/>
        <w:rPr>
          <w:rFonts w:ascii="Times New Roman" w:hAnsi="Times New Roman" w:cs="Times New Roman"/>
        </w:rPr>
      </w:pPr>
      <w:r w:rsidRPr="009E282A">
        <w:rPr>
          <w:rFonts w:ascii="Times New Roman" w:hAnsi="Times New Roman" w:cs="Times New Roman"/>
        </w:rPr>
        <w:t xml:space="preserve">Europejska dyrektywa o </w:t>
      </w:r>
      <w:r w:rsidR="00AA20A1" w:rsidRPr="009E282A">
        <w:rPr>
          <w:rFonts w:ascii="Times New Roman" w:hAnsi="Times New Roman" w:cs="Times New Roman"/>
        </w:rPr>
        <w:t xml:space="preserve"> adekwatnej </w:t>
      </w:r>
      <w:r w:rsidRPr="009E282A">
        <w:rPr>
          <w:rFonts w:ascii="Times New Roman" w:hAnsi="Times New Roman" w:cs="Times New Roman"/>
        </w:rPr>
        <w:t>płacy minimalnej opiera się jednak na założeniu, że nie definiuje ona bezpośrednio poziomów płac ani konkretnych procedur ustalania płac minimalnych. Zamiast tego zapewnia ramy proceduralne dla ustanowienia ustawowych płac minimalnych i wzmocnienia negocjacji zbiorowych, pozostawiając te procesy do wdrożenia na poziomie krajowym. Zwolennicy Dyrektywy twierdzą, że szanuje ona autonomię krajową i jedynie uzupełnia istniejące praktyki krajowe.</w:t>
      </w:r>
    </w:p>
    <w:p w14:paraId="67DE6E70" w14:textId="6FEBEE8D" w:rsidR="00970CAB" w:rsidRPr="009E282A" w:rsidRDefault="00970CAB" w:rsidP="00461A02">
      <w:pPr>
        <w:spacing w:line="360" w:lineRule="auto"/>
        <w:jc w:val="both"/>
        <w:rPr>
          <w:rFonts w:ascii="Times New Roman" w:hAnsi="Times New Roman" w:cs="Times New Roman"/>
        </w:rPr>
      </w:pPr>
      <w:r w:rsidRPr="009E282A">
        <w:rPr>
          <w:rFonts w:ascii="Times New Roman" w:hAnsi="Times New Roman" w:cs="Times New Roman"/>
        </w:rPr>
        <w:t xml:space="preserve">Niemniej jednak, rzecznik generalny przyjął znacznie bardziej </w:t>
      </w:r>
      <w:r w:rsidR="000E2196" w:rsidRPr="009E282A">
        <w:rPr>
          <w:rFonts w:ascii="Times New Roman" w:hAnsi="Times New Roman" w:cs="Times New Roman"/>
        </w:rPr>
        <w:t>szeroką interpretację</w:t>
      </w:r>
      <w:r w:rsidRPr="009E282A">
        <w:rPr>
          <w:rFonts w:ascii="Times New Roman" w:hAnsi="Times New Roman" w:cs="Times New Roman"/>
        </w:rPr>
        <w:t xml:space="preserve"> art. 153 ust. 5, twierdząc, że każda forma regulacji wynagrodzeń, nawet pośrednia, narusza prawo UE. W swoim rozumowaniu dokonuje on kontrowersyjnego rozróżnienia między tym, co uważa za dopuszczalny „dorozumiany” wpływ na wynagrodzenie, jak</w:t>
      </w:r>
      <w:r w:rsidR="00FF3754" w:rsidRPr="009E282A">
        <w:rPr>
          <w:rFonts w:ascii="Times New Roman" w:hAnsi="Times New Roman" w:cs="Times New Roman"/>
        </w:rPr>
        <w:t>i</w:t>
      </w:r>
      <w:r w:rsidRPr="009E282A">
        <w:rPr>
          <w:rFonts w:ascii="Times New Roman" w:hAnsi="Times New Roman" w:cs="Times New Roman"/>
        </w:rPr>
        <w:t xml:space="preserve"> widać w innych dyrektywach UE, takich jak dyrektywa w sprawie pracy na czas określony lub dyrektywa w sprawie pracy tymczasowej, a tym, co uważa za niedopuszczalną „wyraźną” regulację dotyczącą wynagrodzenia, którą jego zdaniem stanowi europejska dyrektywa w sprawie</w:t>
      </w:r>
      <w:r w:rsidR="000B5B92" w:rsidRPr="009E282A">
        <w:rPr>
          <w:rFonts w:ascii="Times New Roman" w:hAnsi="Times New Roman" w:cs="Times New Roman"/>
        </w:rPr>
        <w:t xml:space="preserve"> adekwatnej</w:t>
      </w:r>
      <w:r w:rsidRPr="009E282A">
        <w:rPr>
          <w:rFonts w:ascii="Times New Roman" w:hAnsi="Times New Roman" w:cs="Times New Roman"/>
        </w:rPr>
        <w:t xml:space="preserve"> płacy minimalnej. Jeśli to rozróżnienie </w:t>
      </w:r>
      <w:r w:rsidR="000B5B92" w:rsidRPr="009E282A">
        <w:rPr>
          <w:rFonts w:ascii="Times New Roman" w:hAnsi="Times New Roman" w:cs="Times New Roman"/>
        </w:rPr>
        <w:t>to odrzucimy</w:t>
      </w:r>
      <w:r w:rsidRPr="009E282A">
        <w:rPr>
          <w:rFonts w:ascii="Times New Roman" w:hAnsi="Times New Roman" w:cs="Times New Roman"/>
        </w:rPr>
        <w:t>, cał</w:t>
      </w:r>
      <w:r w:rsidR="00E91372" w:rsidRPr="009E282A">
        <w:rPr>
          <w:rFonts w:ascii="Times New Roman" w:hAnsi="Times New Roman" w:cs="Times New Roman"/>
        </w:rPr>
        <w:t>a</w:t>
      </w:r>
      <w:r w:rsidRPr="009E282A">
        <w:rPr>
          <w:rFonts w:ascii="Times New Roman" w:hAnsi="Times New Roman" w:cs="Times New Roman"/>
        </w:rPr>
        <w:t xml:space="preserve"> argument</w:t>
      </w:r>
      <w:r w:rsidR="00E91372" w:rsidRPr="009E282A">
        <w:rPr>
          <w:rFonts w:ascii="Times New Roman" w:hAnsi="Times New Roman" w:cs="Times New Roman"/>
        </w:rPr>
        <w:t>acja</w:t>
      </w:r>
      <w:r w:rsidRPr="009E282A">
        <w:rPr>
          <w:rFonts w:ascii="Times New Roman" w:hAnsi="Times New Roman" w:cs="Times New Roman"/>
        </w:rPr>
        <w:t xml:space="preserve"> zawart</w:t>
      </w:r>
      <w:r w:rsidR="00E91372" w:rsidRPr="009E282A">
        <w:rPr>
          <w:rFonts w:ascii="Times New Roman" w:hAnsi="Times New Roman" w:cs="Times New Roman"/>
        </w:rPr>
        <w:t>a</w:t>
      </w:r>
      <w:r w:rsidRPr="009E282A">
        <w:rPr>
          <w:rFonts w:ascii="Times New Roman" w:hAnsi="Times New Roman" w:cs="Times New Roman"/>
        </w:rPr>
        <w:t xml:space="preserve"> w opinii rzecznika generalnego upad</w:t>
      </w:r>
      <w:r w:rsidR="00E91372" w:rsidRPr="009E282A">
        <w:rPr>
          <w:rFonts w:ascii="Times New Roman" w:hAnsi="Times New Roman" w:cs="Times New Roman"/>
        </w:rPr>
        <w:t>a</w:t>
      </w:r>
      <w:r w:rsidRPr="009E282A">
        <w:rPr>
          <w:rFonts w:ascii="Times New Roman" w:hAnsi="Times New Roman" w:cs="Times New Roman"/>
        </w:rPr>
        <w:t>.</w:t>
      </w:r>
    </w:p>
    <w:p w14:paraId="5B3FB9CB" w14:textId="53EBBCF2" w:rsidR="00970CAB" w:rsidRPr="009E282A" w:rsidRDefault="00970CAB" w:rsidP="00461A02">
      <w:pPr>
        <w:spacing w:line="360" w:lineRule="auto"/>
        <w:jc w:val="both"/>
        <w:rPr>
          <w:rFonts w:ascii="Times New Roman" w:hAnsi="Times New Roman" w:cs="Times New Roman"/>
        </w:rPr>
      </w:pPr>
      <w:r w:rsidRPr="009E282A">
        <w:rPr>
          <w:rFonts w:ascii="Times New Roman" w:hAnsi="Times New Roman" w:cs="Times New Roman"/>
        </w:rPr>
        <w:t>Ponadto rzecznik generalny nie uznaje w wystarczającym stopniu zabezpieczeń zawartych w dyrektywie, które chronią kompetencje krajowe, w szczególności w dziedzinie rokowań zbiorowych. Przykładowo, dyrektywa dopuszcza znaczne zróżnicowanie krajowe w zakresie kryteriów stosowanych do ustalania płac minimalnych. Poziomy wynagrodzeń ustalone przez państwa członkowskie w ramach wdrażania dyrektywy są bardzo zróżnicowane - od 46% średniego wynagrodzenia na Łotwie do 60% na Słowacji. Nawet rządy Danii i Szwecji przyznały, że przepisy dyrektywy nie mają bezpośredniego wpływu na ich krajowe systemy ustalania wynagrodzeń. Ich sprzeciw wydaje się być oparty bardziej na</w:t>
      </w:r>
      <w:r w:rsidR="00CD5AE3" w:rsidRPr="009E282A">
        <w:rPr>
          <w:rFonts w:ascii="Times New Roman" w:hAnsi="Times New Roman" w:cs="Times New Roman"/>
        </w:rPr>
        <w:t xml:space="preserve"> obronie</w:t>
      </w:r>
      <w:r w:rsidRPr="009E282A">
        <w:rPr>
          <w:rFonts w:ascii="Times New Roman" w:hAnsi="Times New Roman" w:cs="Times New Roman"/>
        </w:rPr>
        <w:t xml:space="preserve"> zasad niż na jakimkolwiek namacalnym wpływie na praktykę krajową.</w:t>
      </w:r>
    </w:p>
    <w:p w14:paraId="38C3309C" w14:textId="3AD53B8B" w:rsidR="00970CAB" w:rsidRPr="009E282A" w:rsidRDefault="00970CAB" w:rsidP="00461A02">
      <w:pPr>
        <w:spacing w:line="360" w:lineRule="auto"/>
        <w:jc w:val="both"/>
        <w:rPr>
          <w:rFonts w:ascii="Times New Roman" w:hAnsi="Times New Roman" w:cs="Times New Roman"/>
        </w:rPr>
      </w:pPr>
      <w:r w:rsidRPr="009E282A">
        <w:rPr>
          <w:rFonts w:ascii="Times New Roman" w:hAnsi="Times New Roman" w:cs="Times New Roman"/>
          <w:b/>
          <w:bCs/>
        </w:rPr>
        <w:t xml:space="preserve">Co postanowi </w:t>
      </w:r>
      <w:r w:rsidR="00A15B60" w:rsidRPr="009E282A">
        <w:rPr>
          <w:rFonts w:ascii="Times New Roman" w:hAnsi="Times New Roman" w:cs="Times New Roman"/>
          <w:b/>
          <w:bCs/>
        </w:rPr>
        <w:t>Trybunał Sprawiedliwości UE</w:t>
      </w:r>
    </w:p>
    <w:p w14:paraId="332C97C8" w14:textId="499ED825" w:rsidR="00970CAB" w:rsidRPr="009E282A" w:rsidRDefault="00970CAB" w:rsidP="00461A02">
      <w:pPr>
        <w:spacing w:line="360" w:lineRule="auto"/>
        <w:jc w:val="both"/>
        <w:rPr>
          <w:rFonts w:ascii="Times New Roman" w:hAnsi="Times New Roman" w:cs="Times New Roman"/>
        </w:rPr>
      </w:pPr>
      <w:r w:rsidRPr="009E282A">
        <w:rPr>
          <w:rFonts w:ascii="Times New Roman" w:hAnsi="Times New Roman" w:cs="Times New Roman"/>
        </w:rPr>
        <w:t xml:space="preserve">Należy pamiętać, że opinia rzecznika generalnego nie jest wiążąca. Podczas gdy TSUE często stosuje się do zaleceń rzecznika generalnego, istnieje wiele przypadków, w których Trybunał przyjął odmienne stanowisko, zwłaszcza w sprawach dotyczących prawodawstwa europejskiego. Biorąc pod </w:t>
      </w:r>
      <w:r w:rsidRPr="009E282A">
        <w:rPr>
          <w:rFonts w:ascii="Times New Roman" w:hAnsi="Times New Roman" w:cs="Times New Roman"/>
        </w:rPr>
        <w:lastRenderedPageBreak/>
        <w:t xml:space="preserve">uwagę znaczące implikacje tej sprawy, prawdopodobne jest, że Trybunał przyjmie bardziej </w:t>
      </w:r>
      <w:proofErr w:type="spellStart"/>
      <w:r w:rsidRPr="009E282A">
        <w:rPr>
          <w:rFonts w:ascii="Times New Roman" w:hAnsi="Times New Roman" w:cs="Times New Roman"/>
        </w:rPr>
        <w:t>zniuansowane</w:t>
      </w:r>
      <w:proofErr w:type="spellEnd"/>
      <w:r w:rsidRPr="009E282A">
        <w:rPr>
          <w:rFonts w:ascii="Times New Roman" w:hAnsi="Times New Roman" w:cs="Times New Roman"/>
        </w:rPr>
        <w:t xml:space="preserve"> podejście, zwłaszcza że argumenty prawne przedstawione przez rzecznika generalnego pozostają dalekie od jasn</w:t>
      </w:r>
      <w:r w:rsidR="00247531" w:rsidRPr="009E282A">
        <w:rPr>
          <w:rFonts w:ascii="Times New Roman" w:hAnsi="Times New Roman" w:cs="Times New Roman"/>
        </w:rPr>
        <w:t>ości</w:t>
      </w:r>
      <w:r w:rsidRPr="009E282A">
        <w:rPr>
          <w:rFonts w:ascii="Times New Roman" w:hAnsi="Times New Roman" w:cs="Times New Roman"/>
        </w:rPr>
        <w:t xml:space="preserve"> i spójn</w:t>
      </w:r>
      <w:r w:rsidR="00C01277" w:rsidRPr="009E282A">
        <w:rPr>
          <w:rFonts w:ascii="Times New Roman" w:hAnsi="Times New Roman" w:cs="Times New Roman"/>
        </w:rPr>
        <w:t>ości</w:t>
      </w:r>
      <w:r w:rsidRPr="009E282A">
        <w:rPr>
          <w:rFonts w:ascii="Times New Roman" w:hAnsi="Times New Roman" w:cs="Times New Roman"/>
        </w:rPr>
        <w:t>.</w:t>
      </w:r>
    </w:p>
    <w:p w14:paraId="50C79598" w14:textId="3E80E56F" w:rsidR="00970CAB" w:rsidRPr="009E282A" w:rsidRDefault="00970CAB" w:rsidP="00461A02">
      <w:pPr>
        <w:spacing w:line="360" w:lineRule="auto"/>
        <w:jc w:val="both"/>
        <w:rPr>
          <w:rFonts w:ascii="Times New Roman" w:hAnsi="Times New Roman" w:cs="Times New Roman"/>
        </w:rPr>
      </w:pPr>
      <w:r w:rsidRPr="009E282A">
        <w:rPr>
          <w:rFonts w:ascii="Times New Roman" w:hAnsi="Times New Roman" w:cs="Times New Roman"/>
        </w:rPr>
        <w:t xml:space="preserve">Co więcej, TSUE z pewnością rozważy polityczne konsekwencje swojego orzeczenia. Europejska dyrektywa w sprawie płacy minimalnej jest powszechnie uważana za sztandarową inicjatywę UE mającą na celu promowanie Europy bardziej sprzyjającej integracji społecznej. Unieważnienie dyrektywy stanowiłoby poważny cios dla praw pracowniczych i mogłoby wzmocnić postrzeganie UE jako instytucji bardziej dostosowanej do interesów elit biznesowych niż zwykłych obywateli. </w:t>
      </w:r>
      <w:r w:rsidR="00C01277" w:rsidRPr="009E282A">
        <w:rPr>
          <w:rFonts w:ascii="Times New Roman" w:hAnsi="Times New Roman" w:cs="Times New Roman"/>
        </w:rPr>
        <w:t xml:space="preserve"> Orzeczenie o</w:t>
      </w:r>
      <w:r w:rsidRPr="009E282A">
        <w:rPr>
          <w:rFonts w:ascii="Times New Roman" w:hAnsi="Times New Roman" w:cs="Times New Roman"/>
        </w:rPr>
        <w:t>słabiłoby  również zdolność UE do ochrony płac przed podcięciem przez konkurencję, sprzyjając w ten sposób dumpingowi socjalnemu.</w:t>
      </w:r>
    </w:p>
    <w:p w14:paraId="13C2BC11" w14:textId="77777777" w:rsidR="00970CAB" w:rsidRPr="009E282A" w:rsidRDefault="00970CAB" w:rsidP="00461A02">
      <w:pPr>
        <w:spacing w:line="360" w:lineRule="auto"/>
        <w:jc w:val="both"/>
        <w:rPr>
          <w:rFonts w:ascii="Times New Roman" w:hAnsi="Times New Roman" w:cs="Times New Roman"/>
        </w:rPr>
      </w:pPr>
      <w:r w:rsidRPr="009E282A">
        <w:rPr>
          <w:rFonts w:ascii="Times New Roman" w:hAnsi="Times New Roman" w:cs="Times New Roman"/>
        </w:rPr>
        <w:t xml:space="preserve">Europejska dyrektywa o płacy minimalnej miała być częścią szerszej </w:t>
      </w:r>
      <w:hyperlink r:id="rId11" w:history="1">
        <w:r w:rsidRPr="009E282A">
          <w:rPr>
            <w:rStyle w:val="Hipercze"/>
            <w:rFonts w:ascii="Times New Roman" w:hAnsi="Times New Roman" w:cs="Times New Roman"/>
          </w:rPr>
          <w:t>zmiany paradygmatu</w:t>
        </w:r>
      </w:hyperlink>
      <w:r w:rsidRPr="009E282A">
        <w:rPr>
          <w:rFonts w:ascii="Times New Roman" w:hAnsi="Times New Roman" w:cs="Times New Roman"/>
        </w:rPr>
        <w:t xml:space="preserve"> po kontrowersyjnych interwencjach UE w krajowe systemy ustalania płac i negocjacji zbiorowych podczas kryzysu finansowego na początku 2010 roku. Gdyby dyrektywa została unieważniona, oznaczałoby to znaczącą porażkę agendy społecznej UE i jeszcze bardziej podsyciłoby wzrost sił nacjonalistycznych i populistycznych, które już teraz są krytyczne wobec integracji europejskiej.</w:t>
      </w:r>
    </w:p>
    <w:p w14:paraId="12A29EB4" w14:textId="77777777" w:rsidR="00970CAB" w:rsidRPr="009E282A" w:rsidRDefault="00970CAB" w:rsidP="00461A02">
      <w:pPr>
        <w:spacing w:line="360" w:lineRule="auto"/>
        <w:jc w:val="both"/>
        <w:rPr>
          <w:rFonts w:ascii="Times New Roman" w:hAnsi="Times New Roman" w:cs="Times New Roman"/>
        </w:rPr>
      </w:pPr>
      <w:r w:rsidRPr="009E282A">
        <w:rPr>
          <w:rFonts w:ascii="Times New Roman" w:hAnsi="Times New Roman" w:cs="Times New Roman"/>
          <w:b/>
          <w:bCs/>
        </w:rPr>
        <w:t>Krajowe zmagania trwają...</w:t>
      </w:r>
    </w:p>
    <w:p w14:paraId="03AF1498" w14:textId="77777777" w:rsidR="00970CAB" w:rsidRPr="009E282A" w:rsidRDefault="00970CAB" w:rsidP="00461A02">
      <w:pPr>
        <w:spacing w:line="360" w:lineRule="auto"/>
        <w:jc w:val="both"/>
        <w:rPr>
          <w:rFonts w:ascii="Times New Roman" w:hAnsi="Times New Roman" w:cs="Times New Roman"/>
        </w:rPr>
      </w:pPr>
      <w:r w:rsidRPr="009E282A">
        <w:rPr>
          <w:rFonts w:ascii="Times New Roman" w:hAnsi="Times New Roman" w:cs="Times New Roman"/>
        </w:rPr>
        <w:t xml:space="preserve">Co ważne, opinia rzecznika generalnego nie zmienia obecnego statusu prawnego dyrektywy: Państwa członkowskie są nadal zobowiązane do jej transpozycji do prawa krajowego w wyznaczonych terminach, a mechanizmy monitorowania i egzekwowania prawa przez Komisję Europejską pozostają w mocy. Jeszcze przed formalną transpozycją dyrektywy, jej przepisy wywołały </w:t>
      </w:r>
      <w:hyperlink r:id="rId12" w:history="1">
        <w:r w:rsidRPr="009E282A">
          <w:rPr>
            <w:rStyle w:val="Hipercze"/>
            <w:rFonts w:ascii="Times New Roman" w:hAnsi="Times New Roman" w:cs="Times New Roman"/>
          </w:rPr>
          <w:t>debaty i inicjatywy</w:t>
        </w:r>
      </w:hyperlink>
      <w:r w:rsidRPr="009E282A">
        <w:rPr>
          <w:rFonts w:ascii="Times New Roman" w:hAnsi="Times New Roman" w:cs="Times New Roman"/>
        </w:rPr>
        <w:t xml:space="preserve"> w wielu krajach mające na celu zapewnienie odpowiednich płac minimalnych i promowanie rokowań zbiorowych. Dyrektywa ma również szersze implikacje, takie jak zapewnienie „odpowiedniego poziomu odniesienia płac” dla </w:t>
      </w:r>
      <w:hyperlink r:id="rId13" w:history="1">
        <w:r w:rsidRPr="009E282A">
          <w:rPr>
            <w:rStyle w:val="Hipercze"/>
            <w:rFonts w:ascii="Times New Roman" w:hAnsi="Times New Roman" w:cs="Times New Roman"/>
          </w:rPr>
          <w:t>europejskich standardów sprawozdawczości w zakresie zrównoważonego rozwoju</w:t>
        </w:r>
      </w:hyperlink>
      <w:r w:rsidRPr="009E282A">
        <w:rPr>
          <w:rFonts w:ascii="Times New Roman" w:hAnsi="Times New Roman" w:cs="Times New Roman"/>
        </w:rPr>
        <w:t xml:space="preserve"> dla przedsiębiorstw.</w:t>
      </w:r>
    </w:p>
    <w:p w14:paraId="6EB5BD58" w14:textId="77777777" w:rsidR="00970CAB" w:rsidRPr="009E282A" w:rsidRDefault="00970CAB" w:rsidP="00461A02">
      <w:pPr>
        <w:spacing w:line="360" w:lineRule="auto"/>
        <w:jc w:val="both"/>
        <w:rPr>
          <w:rFonts w:ascii="Times New Roman" w:hAnsi="Times New Roman" w:cs="Times New Roman"/>
        </w:rPr>
      </w:pPr>
      <w:r w:rsidRPr="009E282A">
        <w:rPr>
          <w:rFonts w:ascii="Times New Roman" w:hAnsi="Times New Roman" w:cs="Times New Roman"/>
        </w:rPr>
        <w:t>Gdyby TSUE zdecydował o unieważnieniu dyrektywy w całości, cele w niej określone - zapewnienie odpowiednich płac minimalnych i promowanie rokowań zbiorowych - pozostałyby tak samo ważne jak zawsze. Skuteczność dyrektywy zawsze zależała od jej ambitnego wdrożenia na poziomie krajowym, a proces ten już trwa. Przyjęcie dyrektywy przez 24 państwa członkowskie UE stanowi potężne zobowiązanie do walki z ubóstwem pracujących, promowania spójności społecznej i ograniczania nieuczciwej konkurencji napędzanej niskimi płacami.</w:t>
      </w:r>
    </w:p>
    <w:p w14:paraId="4D2DC6AA" w14:textId="7EB65343" w:rsidR="00970CAB" w:rsidRPr="009E282A" w:rsidRDefault="00970CAB" w:rsidP="00461A02">
      <w:pPr>
        <w:spacing w:line="360" w:lineRule="auto"/>
        <w:jc w:val="both"/>
        <w:rPr>
          <w:rFonts w:ascii="Times New Roman" w:hAnsi="Times New Roman" w:cs="Times New Roman"/>
        </w:rPr>
      </w:pPr>
      <w:r w:rsidRPr="009E282A">
        <w:rPr>
          <w:rFonts w:ascii="Times New Roman" w:hAnsi="Times New Roman" w:cs="Times New Roman"/>
        </w:rPr>
        <w:t>Niezależnie od przyszłości dyrektywy, zobowiązanie to pozostaje nienaruszone. Państwa członkowskie nadal mają swobodę ustalania jasnych kryteriów dla odpowiednich poziomów płacy</w:t>
      </w:r>
      <w:r w:rsidR="006A2ED2">
        <w:rPr>
          <w:rFonts w:ascii="Times New Roman" w:hAnsi="Times New Roman" w:cs="Times New Roman"/>
        </w:rPr>
        <w:t xml:space="preserve"> minimalnej, takich jak 60%  mediany płac lub 50%</w:t>
      </w:r>
      <w:r w:rsidRPr="009E282A">
        <w:rPr>
          <w:rFonts w:ascii="Times New Roman" w:hAnsi="Times New Roman" w:cs="Times New Roman"/>
        </w:rPr>
        <w:t xml:space="preserve"> średniej płacy, we własnym ustawodawstwie krajowym. Zachowują one również autonomię w zakresie wdrażania planów działania mających na </w:t>
      </w:r>
      <w:r w:rsidRPr="009E282A">
        <w:rPr>
          <w:rFonts w:ascii="Times New Roman" w:hAnsi="Times New Roman" w:cs="Times New Roman"/>
        </w:rPr>
        <w:lastRenderedPageBreak/>
        <w:t>celu zwiększenie zasięgu rokowań zbiorowych. Podczas gdy unieważnienie dyrektywy niewątpliwie stanowiłoby powa</w:t>
      </w:r>
      <w:r w:rsidR="00972864" w:rsidRPr="009E282A">
        <w:rPr>
          <w:rFonts w:ascii="Times New Roman" w:hAnsi="Times New Roman" w:cs="Times New Roman"/>
        </w:rPr>
        <w:t>żną porażkę dla Europy Społecznej</w:t>
      </w:r>
      <w:r w:rsidRPr="009E282A">
        <w:rPr>
          <w:rFonts w:ascii="Times New Roman" w:hAnsi="Times New Roman" w:cs="Times New Roman"/>
        </w:rPr>
        <w:t>, krajowa walka o sprawiedliwe płace i silniejszą ochronę pracy będzie kontynuowana. To jeszcze nie koniec...</w:t>
      </w:r>
    </w:p>
    <w:p w14:paraId="75FF1331" w14:textId="56834162" w:rsidR="009E282A" w:rsidRPr="009E282A" w:rsidRDefault="009E282A" w:rsidP="009E282A">
      <w:pPr>
        <w:rPr>
          <w:rFonts w:ascii="Times New Roman" w:hAnsi="Times New Roman" w:cs="Times New Roman"/>
        </w:rPr>
      </w:pPr>
      <w:hyperlink r:id="rId14" w:history="1">
        <w:proofErr w:type="spellStart"/>
        <w:r w:rsidRPr="009E282A">
          <w:rPr>
            <w:rStyle w:val="Hipercze"/>
            <w:rFonts w:ascii="Times New Roman" w:hAnsi="Times New Roman" w:cs="Times New Roman"/>
            <w:color w:val="auto"/>
          </w:rPr>
          <w:t>Thorsten</w:t>
        </w:r>
        <w:proofErr w:type="spellEnd"/>
        <w:r w:rsidRPr="009E282A">
          <w:rPr>
            <w:rStyle w:val="Hipercze"/>
            <w:rFonts w:ascii="Times New Roman" w:hAnsi="Times New Roman" w:cs="Times New Roman"/>
            <w:color w:val="auto"/>
          </w:rPr>
          <w:t xml:space="preserve"> </w:t>
        </w:r>
        <w:proofErr w:type="spellStart"/>
        <w:r w:rsidRPr="009E282A">
          <w:rPr>
            <w:rStyle w:val="Hipercze"/>
            <w:rFonts w:ascii="Times New Roman" w:hAnsi="Times New Roman" w:cs="Times New Roman"/>
            <w:color w:val="auto"/>
          </w:rPr>
          <w:t>Sc</w:t>
        </w:r>
        <w:r w:rsidRPr="009E282A">
          <w:rPr>
            <w:rStyle w:val="Hipercze"/>
            <w:rFonts w:ascii="Times New Roman" w:hAnsi="Times New Roman" w:cs="Times New Roman"/>
            <w:color w:val="auto"/>
          </w:rPr>
          <w:t>h</w:t>
        </w:r>
        <w:r w:rsidRPr="009E282A">
          <w:rPr>
            <w:rStyle w:val="Hipercze"/>
            <w:rFonts w:ascii="Times New Roman" w:hAnsi="Times New Roman" w:cs="Times New Roman"/>
            <w:color w:val="auto"/>
          </w:rPr>
          <w:t>u</w:t>
        </w:r>
        <w:r w:rsidRPr="009E282A">
          <w:rPr>
            <w:rStyle w:val="Hipercze"/>
            <w:rFonts w:ascii="Times New Roman" w:hAnsi="Times New Roman" w:cs="Times New Roman"/>
            <w:color w:val="auto"/>
          </w:rPr>
          <w:t>lten</w:t>
        </w:r>
        <w:proofErr w:type="spellEnd"/>
      </w:hyperlink>
      <w:r w:rsidRPr="009E282A">
        <w:rPr>
          <w:rFonts w:ascii="Times New Roman" w:hAnsi="Times New Roman" w:cs="Times New Roman"/>
        </w:rPr>
        <w:t>, jest szefem archiwum układów zbiorowych pracy</w:t>
      </w:r>
      <w:r>
        <w:rPr>
          <w:rFonts w:ascii="Times New Roman" w:hAnsi="Times New Roman" w:cs="Times New Roman"/>
        </w:rPr>
        <w:t xml:space="preserve"> Instytutu B</w:t>
      </w:r>
      <w:r w:rsidRPr="009E282A">
        <w:rPr>
          <w:rFonts w:ascii="Times New Roman" w:hAnsi="Times New Roman" w:cs="Times New Roman"/>
        </w:rPr>
        <w:t xml:space="preserve">adań Społeczno-Ekonomicznych (WSI) przy Fundacji Hansa </w:t>
      </w:r>
      <w:proofErr w:type="spellStart"/>
      <w:r w:rsidRPr="009E282A">
        <w:rPr>
          <w:rFonts w:ascii="Times New Roman" w:hAnsi="Times New Roman" w:cs="Times New Roman"/>
        </w:rPr>
        <w:t>Böcklera</w:t>
      </w:r>
      <w:proofErr w:type="spellEnd"/>
    </w:p>
    <w:p w14:paraId="69F00040" w14:textId="34E5CFCA" w:rsidR="009E282A" w:rsidRPr="009E282A" w:rsidRDefault="009E282A" w:rsidP="009E282A">
      <w:pPr>
        <w:rPr>
          <w:rFonts w:ascii="Times New Roman" w:hAnsi="Times New Roman" w:cs="Times New Roman"/>
        </w:rPr>
      </w:pPr>
      <w:hyperlink r:id="rId15" w:history="1">
        <w:proofErr w:type="spellStart"/>
        <w:r w:rsidRPr="009E282A">
          <w:rPr>
            <w:rStyle w:val="Hipercze"/>
            <w:rFonts w:ascii="Times New Roman" w:hAnsi="Times New Roman" w:cs="Times New Roman"/>
            <w:color w:val="auto"/>
          </w:rPr>
          <w:t>Torst</w:t>
        </w:r>
        <w:r w:rsidRPr="009E282A">
          <w:rPr>
            <w:rStyle w:val="Hipercze"/>
            <w:rFonts w:ascii="Times New Roman" w:hAnsi="Times New Roman" w:cs="Times New Roman"/>
            <w:color w:val="auto"/>
          </w:rPr>
          <w:t>e</w:t>
        </w:r>
        <w:r w:rsidRPr="009E282A">
          <w:rPr>
            <w:rStyle w:val="Hipercze"/>
            <w:rFonts w:ascii="Times New Roman" w:hAnsi="Times New Roman" w:cs="Times New Roman"/>
            <w:color w:val="auto"/>
          </w:rPr>
          <w:t>n</w:t>
        </w:r>
        <w:proofErr w:type="spellEnd"/>
        <w:r w:rsidRPr="009E282A">
          <w:rPr>
            <w:rStyle w:val="Hipercze"/>
            <w:rFonts w:ascii="Times New Roman" w:hAnsi="Times New Roman" w:cs="Times New Roman"/>
            <w:color w:val="auto"/>
          </w:rPr>
          <w:t xml:space="preserve"> Müller</w:t>
        </w:r>
      </w:hyperlink>
      <w:r w:rsidRPr="009E282A">
        <w:rPr>
          <w:rFonts w:ascii="Times New Roman" w:hAnsi="Times New Roman" w:cs="Times New Roman"/>
        </w:rPr>
        <w:t xml:space="preserve"> jest ekspertem Europejskiego Instytutu Związków Zawodowych (ETUI)</w:t>
      </w:r>
    </w:p>
    <w:p w14:paraId="32DC777D" w14:textId="1D4EDCD6" w:rsidR="00970CAB" w:rsidRPr="009E282A" w:rsidRDefault="009E282A" w:rsidP="00461A02">
      <w:pPr>
        <w:spacing w:line="360" w:lineRule="auto"/>
        <w:jc w:val="both"/>
        <w:rPr>
          <w:rFonts w:ascii="Times New Roman" w:hAnsi="Times New Roman" w:cs="Times New Roman"/>
        </w:rPr>
      </w:pPr>
      <w:r w:rsidRPr="009E282A">
        <w:rPr>
          <w:rFonts w:ascii="Times New Roman" w:hAnsi="Times New Roman" w:cs="Times New Roman"/>
        </w:rPr>
        <w:t>Oryginalny tekst</w:t>
      </w:r>
      <w:r w:rsidR="006A2ED2">
        <w:rPr>
          <w:rFonts w:ascii="Times New Roman" w:hAnsi="Times New Roman" w:cs="Times New Roman"/>
        </w:rPr>
        <w:t xml:space="preserve"> ukazał się na stronie internetowej  </w:t>
      </w:r>
      <w:proofErr w:type="spellStart"/>
      <w:r w:rsidR="006A2ED2">
        <w:rPr>
          <w:rFonts w:ascii="Times New Roman" w:hAnsi="Times New Roman" w:cs="Times New Roman"/>
        </w:rPr>
        <w:t>Social</w:t>
      </w:r>
      <w:proofErr w:type="spellEnd"/>
      <w:r w:rsidR="006A2ED2">
        <w:rPr>
          <w:rFonts w:ascii="Times New Roman" w:hAnsi="Times New Roman" w:cs="Times New Roman"/>
        </w:rPr>
        <w:t xml:space="preserve"> Europe i </w:t>
      </w:r>
      <w:r w:rsidRPr="009E282A">
        <w:rPr>
          <w:rFonts w:ascii="Times New Roman" w:hAnsi="Times New Roman" w:cs="Times New Roman"/>
        </w:rPr>
        <w:t xml:space="preserve"> dostępny jest </w:t>
      </w:r>
      <w:hyperlink r:id="rId16" w:history="1">
        <w:r w:rsidRPr="009E282A">
          <w:rPr>
            <w:rStyle w:val="Hipercze"/>
            <w:rFonts w:ascii="Times New Roman" w:hAnsi="Times New Roman" w:cs="Times New Roman"/>
          </w:rPr>
          <w:t>tu</w:t>
        </w:r>
        <w:r w:rsidRPr="009E282A">
          <w:rPr>
            <w:rStyle w:val="Hipercze"/>
            <w:rFonts w:ascii="Times New Roman" w:hAnsi="Times New Roman" w:cs="Times New Roman"/>
          </w:rPr>
          <w:t>t</w:t>
        </w:r>
        <w:r w:rsidRPr="009E282A">
          <w:rPr>
            <w:rStyle w:val="Hipercze"/>
            <w:rFonts w:ascii="Times New Roman" w:hAnsi="Times New Roman" w:cs="Times New Roman"/>
          </w:rPr>
          <w:t>aj</w:t>
        </w:r>
      </w:hyperlink>
      <w:r w:rsidRPr="009E282A">
        <w:rPr>
          <w:rFonts w:ascii="Times New Roman" w:hAnsi="Times New Roman" w:cs="Times New Roman"/>
        </w:rPr>
        <w:t>.</w:t>
      </w:r>
    </w:p>
    <w:p w14:paraId="57DAE4DC" w14:textId="77777777" w:rsidR="00970CAB" w:rsidRPr="0094756D" w:rsidRDefault="00970CAB" w:rsidP="00461A0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970CAB" w:rsidRPr="00947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AB"/>
    <w:rsid w:val="000320FB"/>
    <w:rsid w:val="000B5B92"/>
    <w:rsid w:val="000E2196"/>
    <w:rsid w:val="001702E1"/>
    <w:rsid w:val="001B6FC7"/>
    <w:rsid w:val="00242D02"/>
    <w:rsid w:val="00247531"/>
    <w:rsid w:val="0025693F"/>
    <w:rsid w:val="003347F8"/>
    <w:rsid w:val="00461A02"/>
    <w:rsid w:val="004E7AD0"/>
    <w:rsid w:val="005436C9"/>
    <w:rsid w:val="00595C7D"/>
    <w:rsid w:val="006A2ED2"/>
    <w:rsid w:val="0094756D"/>
    <w:rsid w:val="00970CAB"/>
    <w:rsid w:val="00972864"/>
    <w:rsid w:val="009E282A"/>
    <w:rsid w:val="00A025EF"/>
    <w:rsid w:val="00A15B60"/>
    <w:rsid w:val="00AA20A1"/>
    <w:rsid w:val="00AC50B8"/>
    <w:rsid w:val="00B86A9D"/>
    <w:rsid w:val="00C01277"/>
    <w:rsid w:val="00C90C71"/>
    <w:rsid w:val="00CD5AE3"/>
    <w:rsid w:val="00E01DE6"/>
    <w:rsid w:val="00E91372"/>
    <w:rsid w:val="00EA1BDB"/>
    <w:rsid w:val="00F96398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A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0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0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0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0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0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0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0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0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0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0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0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0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0C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0C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0C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0C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0C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0C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0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0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0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0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0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0C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0C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0C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0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0C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0CA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70CAB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0CA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96398"/>
    <w:rPr>
      <w:color w:val="96607D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9E28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0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0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0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0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0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0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0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0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0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0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0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0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0C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0C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0C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0C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0C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0C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0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0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0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0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0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0C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0C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0C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0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0C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0CA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70CAB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0CA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96398"/>
    <w:rPr>
      <w:color w:val="96607D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9E28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ia.europa.eu/juris/document/document.jsf?text=&amp;docid=271514&amp;pageIndex=0&amp;doclang=EN&amp;mode=req&amp;dir=&amp;occ=first&amp;part=1&amp;cid=21848226" TargetMode="External"/><Relationship Id="rId13" Type="http://schemas.openxmlformats.org/officeDocument/2006/relationships/hyperlink" Target="https://www.efrag.org/sites/default/files/sites/webpublishing/SiteAssets/BFC_ESRS%20S1%20Own%20workforce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ocialeurope.eu/minimum-wages-directive-history-in-the-making" TargetMode="External"/><Relationship Id="rId12" Type="http://schemas.openxmlformats.org/officeDocument/2006/relationships/hyperlink" Target="https://www.etui.org/publications/dawn-new-era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socialeurope.eu/eu-minimum-wage-directive-before-the-european-court-of-justice-its-not-all-over-now" TargetMode="Externa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EN/TXT/HTML/?uri=CELEX:32022L2041" TargetMode="External"/><Relationship Id="rId11" Type="http://schemas.openxmlformats.org/officeDocument/2006/relationships/hyperlink" Target="https://illej.unibo.it/article/view/13368/12951" TargetMode="External"/><Relationship Id="rId5" Type="http://schemas.openxmlformats.org/officeDocument/2006/relationships/hyperlink" Target="https://curia.europa.eu/juris/document/document.jsf?text=&amp;docid=294192&amp;pageIndex=0&amp;doclang=EN&amp;mode=req&amp;dir=&amp;occ=first&amp;part=1&amp;cid=21848226" TargetMode="External"/><Relationship Id="rId15" Type="http://schemas.openxmlformats.org/officeDocument/2006/relationships/hyperlink" Target="https://www.socialeurope.eu/author/torsten-muller" TargetMode="External"/><Relationship Id="rId10" Type="http://schemas.openxmlformats.org/officeDocument/2006/relationships/hyperlink" Target="https://curia.europa.eu/juris/showPdf.jsf?text=&amp;docid=62800&amp;pageIndex=0&amp;doclang=EN&amp;mode=lst&amp;dir=&amp;occ=first&amp;part=1&amp;cid=225375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ria.europa.eu/juris/document/document.jsf?text=&amp;docid=294192&amp;pageIndex=0&amp;doclang=EN&amp;mode=req&amp;dir=&amp;occ=first&amp;part=1&amp;cid=21848226" TargetMode="External"/><Relationship Id="rId14" Type="http://schemas.openxmlformats.org/officeDocument/2006/relationships/hyperlink" Target="https://www.socialeurope.eu/author/thorsten-schult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1513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Surdykowska</dc:creator>
  <cp:lastModifiedBy>it@solidarnosc.org.pl</cp:lastModifiedBy>
  <cp:revision>3</cp:revision>
  <dcterms:created xsi:type="dcterms:W3CDTF">2025-02-07T09:37:00Z</dcterms:created>
  <dcterms:modified xsi:type="dcterms:W3CDTF">2025-02-07T09:38:00Z</dcterms:modified>
</cp:coreProperties>
</file>