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6F86" w14:textId="4F824E5A" w:rsidR="009F0FC7" w:rsidRPr="002E1AB6" w:rsidRDefault="009F0FC7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Warszawa 8 styczeń 2020</w:t>
      </w:r>
      <w:r w:rsidR="00F01211" w:rsidRPr="002E1AB6">
        <w:rPr>
          <w:rFonts w:cs="Times New Roman"/>
          <w:szCs w:val="24"/>
        </w:rPr>
        <w:t xml:space="preserve"> r. </w:t>
      </w:r>
    </w:p>
    <w:p w14:paraId="582101A4" w14:textId="77777777" w:rsidR="00906AEE" w:rsidRPr="002E1AB6" w:rsidRDefault="009B6202" w:rsidP="002E1AB6">
      <w:pPr>
        <w:jc w:val="both"/>
        <w:rPr>
          <w:rFonts w:cs="Times New Roman"/>
          <w:szCs w:val="24"/>
          <w:u w:val="single"/>
        </w:rPr>
      </w:pPr>
      <w:r w:rsidRPr="002E1AB6">
        <w:rPr>
          <w:rFonts w:cs="Times New Roman"/>
          <w:szCs w:val="24"/>
          <w:u w:val="single"/>
        </w:rPr>
        <w:t>Materiały szkoleniowe –</w:t>
      </w:r>
      <w:r w:rsidR="003D4C9F" w:rsidRPr="002E1AB6">
        <w:rPr>
          <w:rFonts w:cs="Times New Roman"/>
          <w:szCs w:val="24"/>
          <w:u w:val="single"/>
        </w:rPr>
        <w:t xml:space="preserve"> </w:t>
      </w:r>
      <w:r w:rsidR="003D4C9F" w:rsidRPr="002E1AB6">
        <w:rPr>
          <w:rFonts w:cs="Times New Roman"/>
          <w:b/>
          <w:bCs/>
          <w:szCs w:val="24"/>
          <w:u w:val="single"/>
        </w:rPr>
        <w:t>Podstawowe informacje dotyczące Semestru Europejskiego</w:t>
      </w:r>
    </w:p>
    <w:p w14:paraId="4B6440D8" w14:textId="15DCF148" w:rsidR="009B6202" w:rsidRPr="002E1AB6" w:rsidRDefault="009B6202" w:rsidP="002E1AB6">
      <w:pPr>
        <w:jc w:val="both"/>
        <w:rPr>
          <w:rFonts w:cs="Times New Roman"/>
          <w:szCs w:val="24"/>
          <w:u w:val="single"/>
        </w:rPr>
      </w:pPr>
      <w:r w:rsidRPr="002E1AB6">
        <w:rPr>
          <w:rFonts w:cs="Times New Roman"/>
          <w:szCs w:val="24"/>
          <w:u w:val="single"/>
        </w:rPr>
        <w:t>Szkolenie</w:t>
      </w:r>
      <w:r w:rsidR="009F0FC7" w:rsidRPr="002E1AB6">
        <w:rPr>
          <w:rFonts w:cs="Times New Roman"/>
          <w:szCs w:val="24"/>
          <w:u w:val="single"/>
        </w:rPr>
        <w:t xml:space="preserve"> dotyczące Semestru Europejskiego</w:t>
      </w:r>
      <w:r w:rsidRPr="002E1AB6">
        <w:rPr>
          <w:rFonts w:cs="Times New Roman"/>
          <w:szCs w:val="24"/>
          <w:u w:val="single"/>
        </w:rPr>
        <w:t xml:space="preserve"> dla członków RDS, Zespołów Problemowych RDS oraz członków Branżowych  Zespołów Trójstronnych</w:t>
      </w:r>
    </w:p>
    <w:p w14:paraId="60187E27" w14:textId="5C545559" w:rsidR="009B6202" w:rsidRPr="002E1AB6" w:rsidRDefault="009B6202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Materiały zebrała: Barbara Surdykowska, NSZZ Solidarność</w:t>
      </w:r>
      <w:r w:rsidR="003D4C9F" w:rsidRPr="002E1AB6">
        <w:rPr>
          <w:rFonts w:cs="Times New Roman"/>
          <w:szCs w:val="24"/>
        </w:rPr>
        <w:t>,</w:t>
      </w:r>
      <w:r w:rsidRPr="002E1AB6">
        <w:rPr>
          <w:rFonts w:cs="Times New Roman"/>
          <w:szCs w:val="24"/>
        </w:rPr>
        <w:t xml:space="preserve"> na podstawie źródeł wskazanych </w:t>
      </w:r>
      <w:r w:rsidR="009F0FC7" w:rsidRPr="002E1AB6">
        <w:rPr>
          <w:rFonts w:cs="Times New Roman"/>
          <w:szCs w:val="24"/>
        </w:rPr>
        <w:t>na końcu notatki.</w:t>
      </w:r>
      <w:r w:rsidRPr="002E1AB6">
        <w:rPr>
          <w:rFonts w:cs="Times New Roman"/>
          <w:szCs w:val="24"/>
        </w:rPr>
        <w:t xml:space="preserve"> </w:t>
      </w:r>
    </w:p>
    <w:p w14:paraId="26AC7649" w14:textId="77777777" w:rsidR="009B6202" w:rsidRPr="002E1AB6" w:rsidRDefault="009B6202" w:rsidP="002E1AB6">
      <w:pPr>
        <w:jc w:val="both"/>
        <w:rPr>
          <w:rFonts w:cs="Times New Roman"/>
          <w:szCs w:val="24"/>
        </w:rPr>
      </w:pPr>
    </w:p>
    <w:p w14:paraId="41429960" w14:textId="77777777" w:rsidR="009B6202" w:rsidRPr="002E1AB6" w:rsidRDefault="009F0FC7" w:rsidP="002E1AB6">
      <w:pPr>
        <w:jc w:val="both"/>
        <w:rPr>
          <w:rFonts w:cs="Times New Roman"/>
          <w:b/>
          <w:szCs w:val="24"/>
          <w:u w:val="single"/>
        </w:rPr>
      </w:pPr>
      <w:r w:rsidRPr="002E1AB6">
        <w:rPr>
          <w:rFonts w:cs="Times New Roman"/>
          <w:b/>
          <w:szCs w:val="24"/>
          <w:u w:val="single"/>
        </w:rPr>
        <w:t>Podstawowe pojęcia</w:t>
      </w:r>
    </w:p>
    <w:p w14:paraId="3302BCF6" w14:textId="77777777" w:rsidR="009B6202" w:rsidRPr="002E1AB6" w:rsidRDefault="009F0FC7" w:rsidP="002E1AB6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Co to jest Semestr E</w:t>
      </w:r>
      <w:r w:rsidR="009B6202" w:rsidRPr="002E1AB6">
        <w:rPr>
          <w:rFonts w:cs="Times New Roman"/>
          <w:szCs w:val="24"/>
        </w:rPr>
        <w:t xml:space="preserve">uropejski? </w:t>
      </w:r>
    </w:p>
    <w:p w14:paraId="0B17EEFB" w14:textId="7F9877FF" w:rsidR="009B6202" w:rsidRPr="002E1AB6" w:rsidRDefault="00F01211" w:rsidP="002E1AB6">
      <w:pPr>
        <w:pStyle w:val="Akapitzlist"/>
        <w:jc w:val="both"/>
        <w:rPr>
          <w:rFonts w:cs="Times New Roman"/>
          <w:szCs w:val="24"/>
        </w:rPr>
      </w:pPr>
      <w:r w:rsidRPr="002E1AB6">
        <w:rPr>
          <w:rFonts w:cs="Times New Roman"/>
          <w:bCs/>
          <w:szCs w:val="24"/>
        </w:rPr>
        <w:t>S</w:t>
      </w:r>
      <w:r w:rsidR="009B6202" w:rsidRPr="002E1AB6">
        <w:rPr>
          <w:rFonts w:cs="Times New Roman"/>
          <w:bCs/>
          <w:szCs w:val="24"/>
        </w:rPr>
        <w:t xml:space="preserve">emestr </w:t>
      </w:r>
      <w:r w:rsidRPr="002E1AB6">
        <w:rPr>
          <w:rFonts w:cs="Times New Roman"/>
          <w:bCs/>
          <w:szCs w:val="24"/>
        </w:rPr>
        <w:t xml:space="preserve"> Europejski </w:t>
      </w:r>
      <w:r w:rsidR="009B6202" w:rsidRPr="002E1AB6">
        <w:rPr>
          <w:rFonts w:cs="Times New Roman"/>
          <w:bCs/>
          <w:szCs w:val="24"/>
        </w:rPr>
        <w:t>to procedura, podczas której koordynuje się politykę gospodarczą i budżetową w UE.</w:t>
      </w:r>
      <w:r w:rsidRPr="002E1AB6">
        <w:rPr>
          <w:rFonts w:cs="Times New Roman"/>
          <w:bCs/>
          <w:szCs w:val="24"/>
        </w:rPr>
        <w:t xml:space="preserve"> </w:t>
      </w:r>
      <w:r w:rsidRPr="002E1AB6">
        <w:rPr>
          <w:rFonts w:cs="Times New Roman"/>
          <w:bCs/>
          <w:szCs w:val="24"/>
        </w:rPr>
        <w:t>Zainicjowana została w Unii Europejskiej w roku 2011, po kryzysie lat 2008-2010, który wyraźnie obnażył braki dotychczasowej koordynacji</w:t>
      </w:r>
      <w:r w:rsidR="009B6202" w:rsidRPr="002E1AB6">
        <w:rPr>
          <w:rFonts w:cs="Times New Roman"/>
          <w:bCs/>
          <w:szCs w:val="24"/>
        </w:rPr>
        <w:t xml:space="preserve"> </w:t>
      </w:r>
      <w:r w:rsidR="009B6202" w:rsidRPr="002E1AB6">
        <w:rPr>
          <w:rFonts w:cs="Times New Roman"/>
          <w:b/>
          <w:bCs/>
          <w:szCs w:val="24"/>
        </w:rPr>
        <w:t>Jest elementem unijnego zarządzania gospodarczego</w:t>
      </w:r>
      <w:r w:rsidR="009B6202" w:rsidRPr="002E1AB6">
        <w:rPr>
          <w:rFonts w:cs="Times New Roman"/>
          <w:bCs/>
          <w:szCs w:val="24"/>
        </w:rPr>
        <w:t>.</w:t>
      </w:r>
      <w:r w:rsidR="009B6202" w:rsidRPr="002E1AB6">
        <w:rPr>
          <w:rFonts w:cs="Times New Roman"/>
          <w:b/>
          <w:bCs/>
          <w:szCs w:val="24"/>
        </w:rPr>
        <w:t xml:space="preserve"> </w:t>
      </w:r>
      <w:r w:rsidR="009B6202" w:rsidRPr="002E1AB6">
        <w:rPr>
          <w:rFonts w:cs="Times New Roman"/>
          <w:szCs w:val="24"/>
        </w:rPr>
        <w:t xml:space="preserve">Podczas </w:t>
      </w:r>
      <w:r w:rsidRPr="002E1AB6">
        <w:rPr>
          <w:rFonts w:cs="Times New Roman"/>
          <w:szCs w:val="24"/>
        </w:rPr>
        <w:t xml:space="preserve">Semestru Europejskiego </w:t>
      </w:r>
      <w:r w:rsidR="009B6202" w:rsidRPr="002E1AB6">
        <w:rPr>
          <w:rFonts w:cs="Times New Roman"/>
          <w:szCs w:val="24"/>
        </w:rPr>
        <w:t>państwa członkowskie winny  dopasować  swoją politykę budżetową i gospodarczą do celów i zasad ustalonych na szczeblu UE. </w:t>
      </w:r>
      <w:r w:rsidR="009F0FC7" w:rsidRPr="002E1AB6">
        <w:rPr>
          <w:rFonts w:cs="Times New Roman"/>
          <w:szCs w:val="24"/>
        </w:rPr>
        <w:t>Semestr Europejski ma łączyć oddzielne procesy koordynacji budżetu prowadzonej w ramach Paktu Stabilności i Wzrostu i polityk strukturalnych prowadzonych w ramach strategii wzrostu UE ("Europa 2020"). Włącza on zatem wymiar europejski w prace nad budżetami krajowymi na następny rok na możliwie wczesnym etapie.</w:t>
      </w:r>
    </w:p>
    <w:p w14:paraId="3037BCD8" w14:textId="77777777" w:rsidR="009B6202" w:rsidRPr="002E1AB6" w:rsidRDefault="009B6202" w:rsidP="002E1AB6">
      <w:pPr>
        <w:pStyle w:val="Akapitzlist"/>
        <w:jc w:val="both"/>
        <w:rPr>
          <w:rFonts w:cs="Times New Roman"/>
          <w:szCs w:val="24"/>
        </w:rPr>
      </w:pPr>
    </w:p>
    <w:p w14:paraId="65548402" w14:textId="4CAC1434" w:rsidR="009B6202" w:rsidRPr="002E1AB6" w:rsidRDefault="009B6202" w:rsidP="002E1AB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outlineLvl w:val="1"/>
        <w:rPr>
          <w:rFonts w:eastAsia="Times New Roman" w:cs="Times New Roman"/>
          <w:bCs/>
          <w:szCs w:val="24"/>
          <w:lang w:eastAsia="pl-PL"/>
        </w:rPr>
      </w:pPr>
      <w:r w:rsidRPr="002E1AB6">
        <w:rPr>
          <w:rFonts w:eastAsia="Times New Roman" w:cs="Times New Roman"/>
          <w:bCs/>
          <w:szCs w:val="24"/>
          <w:lang w:eastAsia="pl-PL"/>
        </w:rPr>
        <w:t>Któ</w:t>
      </w:r>
      <w:r w:rsidR="009F0FC7" w:rsidRPr="002E1AB6">
        <w:rPr>
          <w:rFonts w:eastAsia="Times New Roman" w:cs="Times New Roman"/>
          <w:bCs/>
          <w:szCs w:val="24"/>
          <w:lang w:eastAsia="pl-PL"/>
        </w:rPr>
        <w:t>re dziedziny polityki obejmuje</w:t>
      </w:r>
      <w:r w:rsidR="00906AEE" w:rsidRPr="002E1AB6">
        <w:rPr>
          <w:rFonts w:eastAsia="Times New Roman" w:cs="Times New Roman"/>
          <w:bCs/>
          <w:szCs w:val="24"/>
          <w:lang w:eastAsia="pl-PL"/>
        </w:rPr>
        <w:t xml:space="preserve"> </w:t>
      </w:r>
      <w:r w:rsidR="009F0FC7" w:rsidRPr="002E1AB6">
        <w:rPr>
          <w:rFonts w:eastAsia="Times New Roman" w:cs="Times New Roman"/>
          <w:bCs/>
          <w:szCs w:val="24"/>
          <w:lang w:eastAsia="pl-PL"/>
        </w:rPr>
        <w:t>S</w:t>
      </w:r>
      <w:r w:rsidRPr="002E1AB6">
        <w:rPr>
          <w:rFonts w:eastAsia="Times New Roman" w:cs="Times New Roman"/>
          <w:bCs/>
          <w:szCs w:val="24"/>
          <w:lang w:eastAsia="pl-PL"/>
        </w:rPr>
        <w:t>emestr</w:t>
      </w:r>
      <w:r w:rsidR="00906AEE" w:rsidRPr="002E1AB6">
        <w:rPr>
          <w:rFonts w:eastAsia="Times New Roman" w:cs="Times New Roman"/>
          <w:bCs/>
          <w:szCs w:val="24"/>
          <w:lang w:eastAsia="pl-PL"/>
        </w:rPr>
        <w:t xml:space="preserve"> Europejski</w:t>
      </w:r>
      <w:r w:rsidRPr="002E1AB6">
        <w:rPr>
          <w:rFonts w:eastAsia="Times New Roman" w:cs="Times New Roman"/>
          <w:bCs/>
          <w:szCs w:val="24"/>
          <w:lang w:eastAsia="pl-PL"/>
        </w:rPr>
        <w:t>?</w:t>
      </w:r>
    </w:p>
    <w:p w14:paraId="76591CE3" w14:textId="77777777" w:rsidR="009B6202" w:rsidRPr="002E1AB6" w:rsidRDefault="009B6202" w:rsidP="002E1AB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szCs w:val="24"/>
          <w:lang w:eastAsia="pl-PL"/>
        </w:rPr>
        <w:t xml:space="preserve">Podczas europejskiego semestru koordynuje się </w:t>
      </w:r>
      <w:r w:rsidRPr="002E1AB6">
        <w:rPr>
          <w:rFonts w:eastAsia="Times New Roman" w:cs="Times New Roman"/>
          <w:b/>
          <w:bCs/>
          <w:szCs w:val="24"/>
          <w:lang w:eastAsia="pl-PL"/>
        </w:rPr>
        <w:t>3 działy</w:t>
      </w:r>
      <w:r w:rsidRPr="002E1AB6">
        <w:rPr>
          <w:rFonts w:eastAsia="Times New Roman" w:cs="Times New Roman"/>
          <w:szCs w:val="24"/>
          <w:lang w:eastAsia="pl-PL"/>
        </w:rPr>
        <w:t xml:space="preserve"> polityki gospodarczej:</w:t>
      </w:r>
    </w:p>
    <w:p w14:paraId="53B61A56" w14:textId="77777777" w:rsidR="009B6202" w:rsidRPr="002E1AB6" w:rsidRDefault="009B6202" w:rsidP="002E1AB6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Reformy strukturalne</w:t>
      </w:r>
      <w:r w:rsidRPr="002E1AB6">
        <w:rPr>
          <w:rFonts w:eastAsia="Times New Roman" w:cs="Times New Roman"/>
          <w:szCs w:val="24"/>
          <w:lang w:eastAsia="pl-PL"/>
        </w:rPr>
        <w:t>, służące promowaniu wzrostu i zatrudnienia zgodnie ze strategią „Europa 2020”</w:t>
      </w:r>
    </w:p>
    <w:p w14:paraId="0C1D4869" w14:textId="77777777" w:rsidR="009B6202" w:rsidRPr="002E1AB6" w:rsidRDefault="009B6202" w:rsidP="002E1AB6">
      <w:pPr>
        <w:spacing w:before="100" w:beforeAutospacing="1" w:after="100" w:afterAutospacing="1"/>
        <w:ind w:left="708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Politykę budżetową</w:t>
      </w:r>
      <w:r w:rsidRPr="002E1AB6">
        <w:rPr>
          <w:rFonts w:eastAsia="Times New Roman" w:cs="Times New Roman"/>
          <w:szCs w:val="24"/>
          <w:lang w:eastAsia="pl-PL"/>
        </w:rPr>
        <w:t>, służącą zapewnieniu stabilności finansów publicznych zgodnie z paktem stabilności i wzrostu</w:t>
      </w:r>
    </w:p>
    <w:p w14:paraId="5C0ED536" w14:textId="369B9088" w:rsidR="009B6202" w:rsidRPr="002E1AB6" w:rsidRDefault="009B6202" w:rsidP="002E1AB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szCs w:val="24"/>
          <w:lang w:eastAsia="pl-PL"/>
        </w:rPr>
        <w:t xml:space="preserve">Zapobieganie nadmiernym zakłóceniom </w:t>
      </w:r>
      <w:r w:rsidRPr="002E1AB6">
        <w:rPr>
          <w:rFonts w:eastAsia="Times New Roman" w:cs="Times New Roman"/>
          <w:b/>
          <w:bCs/>
          <w:szCs w:val="24"/>
          <w:lang w:eastAsia="pl-PL"/>
        </w:rPr>
        <w:t>równowagi makroekonomicznej</w:t>
      </w:r>
      <w:r w:rsidRPr="002E1AB6">
        <w:rPr>
          <w:rFonts w:eastAsia="Times New Roman" w:cs="Times New Roman"/>
          <w:szCs w:val="24"/>
          <w:lang w:eastAsia="pl-PL"/>
        </w:rPr>
        <w:t>.</w:t>
      </w:r>
    </w:p>
    <w:p w14:paraId="4016602B" w14:textId="77777777" w:rsidR="009B6202" w:rsidRPr="002E1AB6" w:rsidRDefault="009B6202" w:rsidP="002E1AB6">
      <w:pPr>
        <w:pStyle w:val="Akapitzlist"/>
        <w:jc w:val="both"/>
        <w:rPr>
          <w:rFonts w:cs="Times New Roman"/>
          <w:szCs w:val="24"/>
        </w:rPr>
      </w:pPr>
    </w:p>
    <w:p w14:paraId="35742C83" w14:textId="77777777" w:rsidR="009B6202" w:rsidRPr="002E1AB6" w:rsidRDefault="009F0FC7" w:rsidP="002E1AB6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Jak wygląda procedura Semestru E</w:t>
      </w:r>
      <w:r w:rsidR="009B6202" w:rsidRPr="002E1AB6">
        <w:rPr>
          <w:rFonts w:cs="Times New Roman"/>
          <w:szCs w:val="24"/>
        </w:rPr>
        <w:t>uropejskiego?</w:t>
      </w:r>
    </w:p>
    <w:p w14:paraId="44DC5DBA" w14:textId="77777777" w:rsidR="006D7DAD" w:rsidRPr="002E1AB6" w:rsidRDefault="006D7DAD" w:rsidP="002E1AB6">
      <w:pPr>
        <w:pStyle w:val="Akapitzlist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Semestr europejski składa się z określonych powtarzających się faz. </w:t>
      </w:r>
    </w:p>
    <w:p w14:paraId="550494FE" w14:textId="77777777" w:rsidR="006D7DAD" w:rsidRPr="002E1AB6" w:rsidRDefault="006D7DAD" w:rsidP="002E1AB6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szCs w:val="24"/>
          <w:lang w:eastAsia="pl-PL"/>
        </w:rPr>
        <w:t>Semestr Europejski rozpoczyna się w listopadzie i ma charakter cykliczny:</w:t>
      </w:r>
    </w:p>
    <w:p w14:paraId="2BD4A7BF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listopad</w:t>
      </w:r>
      <w:r w:rsidRPr="002E1AB6">
        <w:rPr>
          <w:rFonts w:eastAsia="Times New Roman" w:cs="Times New Roman"/>
          <w:szCs w:val="24"/>
          <w:lang w:eastAsia="pl-PL"/>
        </w:rPr>
        <w:t xml:space="preserve"> – KE publikuje Roczną analizę wzrostu gospodarczego  (ang. 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Annual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Growth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Survey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>-AGS) oraz projektu zaleceń Rady dla strefy euro,</w:t>
      </w:r>
    </w:p>
    <w:p w14:paraId="18340B34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luty</w:t>
      </w:r>
      <w:r w:rsidRPr="002E1AB6">
        <w:rPr>
          <w:rFonts w:eastAsia="Times New Roman" w:cs="Times New Roman"/>
          <w:szCs w:val="24"/>
          <w:lang w:eastAsia="pl-PL"/>
        </w:rPr>
        <w:t xml:space="preserve"> – publikacja przez KE Sprawozdań krajowych (ang. Country 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Reports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>),</w:t>
      </w:r>
    </w:p>
    <w:p w14:paraId="1F9E81F0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lastRenderedPageBreak/>
        <w:t>marzec</w:t>
      </w:r>
      <w:r w:rsidRPr="002E1AB6">
        <w:rPr>
          <w:rFonts w:eastAsia="Times New Roman" w:cs="Times New Roman"/>
          <w:szCs w:val="24"/>
          <w:lang w:eastAsia="pl-PL"/>
        </w:rPr>
        <w:t xml:space="preserve"> – doroczny szczyt gospodarczy Rady Europejskiej, na którym państwa członkowskie określają wyzwania stojące przed UE,</w:t>
      </w:r>
    </w:p>
    <w:p w14:paraId="1EEBA8EF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kwiecień</w:t>
      </w:r>
      <w:r w:rsidRPr="002E1AB6">
        <w:rPr>
          <w:rFonts w:eastAsia="Times New Roman" w:cs="Times New Roman"/>
          <w:szCs w:val="24"/>
          <w:lang w:eastAsia="pl-PL"/>
        </w:rPr>
        <w:t xml:space="preserve"> – przedłożenie przez państwa członkowskie Krajowych Programów Reform (KPR) i Programów Stabilności lub Konwergencji,</w:t>
      </w:r>
    </w:p>
    <w:p w14:paraId="51BC9D02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maj-czerwiec</w:t>
      </w:r>
      <w:r w:rsidRPr="002E1AB6">
        <w:rPr>
          <w:rFonts w:eastAsia="Times New Roman" w:cs="Times New Roman"/>
          <w:szCs w:val="24"/>
          <w:lang w:eastAsia="pl-PL"/>
        </w:rPr>
        <w:t xml:space="preserve"> – ocena dokumentów przez KE, sformułowanie przez KE projektu zaleceń (ang. country-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specific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Pr="002E1AB6">
        <w:rPr>
          <w:rFonts w:eastAsia="Times New Roman" w:cs="Times New Roman"/>
          <w:szCs w:val="24"/>
          <w:lang w:eastAsia="pl-PL"/>
        </w:rPr>
        <w:t>recommendations</w:t>
      </w:r>
      <w:proofErr w:type="spellEnd"/>
      <w:r w:rsidRPr="002E1AB6">
        <w:rPr>
          <w:rFonts w:eastAsia="Times New Roman" w:cs="Times New Roman"/>
          <w:szCs w:val="24"/>
          <w:lang w:eastAsia="pl-PL"/>
        </w:rPr>
        <w:t xml:space="preserve"> – CSR), dyskusja na temat projektu na forum formacji Rady UE,</w:t>
      </w:r>
    </w:p>
    <w:p w14:paraId="4BE03ACE" w14:textId="77777777" w:rsidR="006D7DAD" w:rsidRPr="002E1AB6" w:rsidRDefault="006D7DAD" w:rsidP="002E1AB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b/>
          <w:bCs/>
          <w:szCs w:val="24"/>
          <w:lang w:eastAsia="pl-PL"/>
        </w:rPr>
        <w:t>lipiec</w:t>
      </w:r>
      <w:r w:rsidRPr="002E1AB6">
        <w:rPr>
          <w:rFonts w:eastAsia="Times New Roman" w:cs="Times New Roman"/>
          <w:szCs w:val="24"/>
          <w:lang w:eastAsia="pl-PL"/>
        </w:rPr>
        <w:t xml:space="preserve"> – formalne przyjęcie przez Radę do Spraw Gospodarczych i Finansowych (ECOFIN) opinii na temat  Programów Stabilności lub Konwergencji oraz CSR dla państw członkowskich na podstawie oceny KPR.</w:t>
      </w:r>
    </w:p>
    <w:p w14:paraId="08A286E7" w14:textId="5E1E1100" w:rsidR="00F01211" w:rsidRPr="002E1AB6" w:rsidRDefault="00F01211" w:rsidP="002E1AB6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2E1AB6">
        <w:rPr>
          <w:rFonts w:eastAsia="Times New Roman" w:cs="Times New Roman"/>
          <w:szCs w:val="24"/>
          <w:lang w:eastAsia="pl-PL"/>
        </w:rPr>
        <w:t>Formalnie nowy Semestr Europejski zaczyna się ponownie pod koniec roku kalendarzowego, ale w praktyce prace na szczeblu roboczym (w Komisji Europejskiej) ruszają zaraz po zakończeniu poprzedniego cyklu. W październiku-listopadzie każdego roku poszczególne kraje członkowskie odwiedzane są przez misje ekspertów KE, reprezentujących co najmniej kilka różnych departamentów zajmujących się głównymi działami polityki gospodarczej UE.</w:t>
      </w:r>
    </w:p>
    <w:p w14:paraId="5B68FE52" w14:textId="613FE6BB" w:rsidR="009B6202" w:rsidRPr="002E1AB6" w:rsidRDefault="006D7DAD" w:rsidP="002E1AB6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Jakie są najważniejsze </w:t>
      </w:r>
      <w:r w:rsidR="009F0FC7" w:rsidRPr="002E1AB6">
        <w:rPr>
          <w:rFonts w:cs="Times New Roman"/>
          <w:szCs w:val="24"/>
        </w:rPr>
        <w:t>dokumenty</w:t>
      </w:r>
      <w:r w:rsidR="00906AEE" w:rsidRPr="002E1AB6">
        <w:rPr>
          <w:rFonts w:cs="Times New Roman"/>
          <w:szCs w:val="24"/>
        </w:rPr>
        <w:t xml:space="preserve"> publikowane </w:t>
      </w:r>
      <w:r w:rsidR="009F0FC7" w:rsidRPr="002E1AB6">
        <w:rPr>
          <w:rFonts w:cs="Times New Roman"/>
          <w:szCs w:val="24"/>
        </w:rPr>
        <w:t xml:space="preserve"> w ramach S</w:t>
      </w:r>
      <w:r w:rsidRPr="002E1AB6">
        <w:rPr>
          <w:rFonts w:cs="Times New Roman"/>
          <w:szCs w:val="24"/>
        </w:rPr>
        <w:t>emestru</w:t>
      </w:r>
      <w:r w:rsidR="00906AEE" w:rsidRPr="002E1AB6">
        <w:rPr>
          <w:rFonts w:cs="Times New Roman"/>
          <w:szCs w:val="24"/>
        </w:rPr>
        <w:t xml:space="preserve"> Europejskiego</w:t>
      </w:r>
      <w:r w:rsidR="00430108" w:rsidRPr="002E1AB6">
        <w:rPr>
          <w:rFonts w:cs="Times New Roman"/>
          <w:szCs w:val="24"/>
        </w:rPr>
        <w:t>?</w:t>
      </w:r>
      <w:r w:rsidRPr="002E1AB6">
        <w:rPr>
          <w:rFonts w:cs="Times New Roman"/>
          <w:szCs w:val="24"/>
        </w:rPr>
        <w:t xml:space="preserve"> </w:t>
      </w:r>
    </w:p>
    <w:p w14:paraId="65F16FEC" w14:textId="77777777" w:rsidR="006D7DAD" w:rsidRPr="002E1AB6" w:rsidRDefault="006D7DAD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Fonts w:ascii="Times New Roman" w:hAnsi="Times New Roman" w:cs="Times New Roman"/>
          <w:color w:val="auto"/>
          <w:szCs w:val="24"/>
        </w:rPr>
        <w:t>Roczna analiza wzrostu gospodarczego (AGS)</w:t>
      </w:r>
    </w:p>
    <w:p w14:paraId="7A5F8C4B" w14:textId="296942D9" w:rsidR="006D7DAD" w:rsidRPr="002E1AB6" w:rsidRDefault="006D7DAD" w:rsidP="002E1AB6">
      <w:pPr>
        <w:pStyle w:val="NormalnyWeb"/>
        <w:spacing w:line="276" w:lineRule="auto"/>
        <w:jc w:val="both"/>
      </w:pPr>
      <w:r w:rsidRPr="002E1AB6">
        <w:t xml:space="preserve">KE pod koniec każdego roku przedstawia Roczną analizę wzrostu gospodarczego (ang. </w:t>
      </w:r>
      <w:proofErr w:type="spellStart"/>
      <w:r w:rsidRPr="002E1AB6">
        <w:t>Annual</w:t>
      </w:r>
      <w:proofErr w:type="spellEnd"/>
      <w:r w:rsidRPr="002E1AB6">
        <w:t xml:space="preserve"> </w:t>
      </w:r>
      <w:proofErr w:type="spellStart"/>
      <w:r w:rsidRPr="002E1AB6">
        <w:t>Growth</w:t>
      </w:r>
      <w:proofErr w:type="spellEnd"/>
      <w:r w:rsidRPr="002E1AB6">
        <w:t xml:space="preserve"> </w:t>
      </w:r>
      <w:proofErr w:type="spellStart"/>
      <w:r w:rsidRPr="002E1AB6">
        <w:t>Survey</w:t>
      </w:r>
      <w:proofErr w:type="spellEnd"/>
      <w:r w:rsidRPr="002E1AB6">
        <w:t>). Stanowi ona pierwszy etap cyklu koordynacji polityki państw UE w ramach Semestru Europejskiego. W dokumencie tym KE proponuje priorytety polityki gospodarczej UE na kolejny rok.</w:t>
      </w:r>
    </w:p>
    <w:p w14:paraId="4636414B" w14:textId="16CE2E9B" w:rsidR="00F01211" w:rsidRPr="002E1AB6" w:rsidRDefault="00F01211" w:rsidP="002E1AB6">
      <w:pPr>
        <w:pStyle w:val="NormalnyWeb"/>
        <w:spacing w:line="276" w:lineRule="auto"/>
        <w:jc w:val="both"/>
        <w:rPr>
          <w:b/>
          <w:bCs/>
        </w:rPr>
      </w:pPr>
      <w:r w:rsidRPr="002E1AB6">
        <w:rPr>
          <w:b/>
          <w:bCs/>
        </w:rPr>
        <w:t xml:space="preserve">Cykl Semestru Europejskiego 2020 rozpoczęło opublikowanie </w:t>
      </w:r>
      <w:proofErr w:type="spellStart"/>
      <w:r w:rsidRPr="002E1AB6">
        <w:rPr>
          <w:b/>
          <w:bCs/>
        </w:rPr>
        <w:t>Annual</w:t>
      </w:r>
      <w:proofErr w:type="spellEnd"/>
      <w:r w:rsidRPr="002E1AB6">
        <w:rPr>
          <w:b/>
          <w:bCs/>
        </w:rPr>
        <w:t xml:space="preserve"> </w:t>
      </w:r>
      <w:proofErr w:type="spellStart"/>
      <w:r w:rsidRPr="002E1AB6">
        <w:rPr>
          <w:b/>
          <w:bCs/>
        </w:rPr>
        <w:t>Sustainable</w:t>
      </w:r>
      <w:proofErr w:type="spellEnd"/>
      <w:r w:rsidRPr="002E1AB6">
        <w:rPr>
          <w:b/>
          <w:bCs/>
        </w:rPr>
        <w:t xml:space="preserve"> </w:t>
      </w:r>
      <w:proofErr w:type="spellStart"/>
      <w:r w:rsidRPr="002E1AB6">
        <w:rPr>
          <w:b/>
          <w:bCs/>
        </w:rPr>
        <w:t>Growth</w:t>
      </w:r>
      <w:proofErr w:type="spellEnd"/>
      <w:r w:rsidRPr="002E1AB6">
        <w:rPr>
          <w:b/>
          <w:bCs/>
        </w:rPr>
        <w:t xml:space="preserve"> </w:t>
      </w:r>
      <w:proofErr w:type="spellStart"/>
      <w:r w:rsidRPr="002E1AB6">
        <w:rPr>
          <w:b/>
          <w:bCs/>
        </w:rPr>
        <w:t>Survey</w:t>
      </w:r>
      <w:proofErr w:type="spellEnd"/>
      <w:r w:rsidRPr="002E1AB6">
        <w:rPr>
          <w:b/>
          <w:bCs/>
        </w:rPr>
        <w:t xml:space="preserve"> – Roczna analiza zrównoważonego wzrostu (ASGS)</w:t>
      </w:r>
    </w:p>
    <w:p w14:paraId="3E96181A" w14:textId="77777777" w:rsidR="006D7DAD" w:rsidRPr="002E1AB6" w:rsidRDefault="006D7DAD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Fonts w:ascii="Times New Roman" w:hAnsi="Times New Roman" w:cs="Times New Roman"/>
          <w:color w:val="auto"/>
          <w:szCs w:val="24"/>
        </w:rPr>
        <w:t>Sprawozdanie krajowe</w:t>
      </w:r>
    </w:p>
    <w:p w14:paraId="1F2764DB" w14:textId="77777777" w:rsidR="006D7DAD" w:rsidRPr="002E1AB6" w:rsidRDefault="006D7DAD" w:rsidP="002E1AB6">
      <w:pPr>
        <w:pStyle w:val="NormalnyWeb"/>
        <w:spacing w:line="276" w:lineRule="auto"/>
        <w:jc w:val="both"/>
      </w:pPr>
      <w:r w:rsidRPr="002E1AB6">
        <w:t xml:space="preserve">Sprawozdanie krajowe (ang. Country </w:t>
      </w:r>
      <w:proofErr w:type="spellStart"/>
      <w:r w:rsidRPr="002E1AB6">
        <w:t>reports</w:t>
      </w:r>
      <w:proofErr w:type="spellEnd"/>
      <w:r w:rsidRPr="002E1AB6">
        <w:t>) jest dokumentem analitycznym KE będącym jednym z elementów cyklu Semestru Europejskiego. Pierwsze sprawozdanie pojawiły się w 2015 r.</w:t>
      </w:r>
    </w:p>
    <w:p w14:paraId="4554DD01" w14:textId="77777777" w:rsidR="006D7DAD" w:rsidRPr="002E1AB6" w:rsidRDefault="006D7DAD" w:rsidP="002E1AB6">
      <w:pPr>
        <w:pStyle w:val="NormalnyWeb"/>
        <w:spacing w:line="276" w:lineRule="auto"/>
        <w:jc w:val="both"/>
      </w:pPr>
      <w:r w:rsidRPr="002E1AB6">
        <w:t>Zapisy sprawozdania dotyczą oceny:</w:t>
      </w:r>
    </w:p>
    <w:p w14:paraId="63AF5916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ogólnej sytuacji gospodarczej,</w:t>
      </w:r>
    </w:p>
    <w:p w14:paraId="58F98625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ram polityki fiskalnej i stabilności makroekonomicznej,</w:t>
      </w:r>
    </w:p>
    <w:p w14:paraId="779C1B85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wybranych polityk gospodarczych i społecznych (w tym: podatki, rynek pracy, otoczenie biznesu itp.),</w:t>
      </w:r>
    </w:p>
    <w:p w14:paraId="3AD8B49A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realizacji zaleceń Rady UE z roku poprzedniego,</w:t>
      </w:r>
    </w:p>
    <w:p w14:paraId="26955861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realizacji poszczególnych celów strategii „Europa 2020”,</w:t>
      </w:r>
    </w:p>
    <w:p w14:paraId="4A6C524F" w14:textId="77777777" w:rsidR="006D7DAD" w:rsidRPr="002E1AB6" w:rsidRDefault="006D7DAD" w:rsidP="002E1AB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realizacji celów Europejskiego Filaru Praw Socjalnych.</w:t>
      </w:r>
    </w:p>
    <w:p w14:paraId="389E8F12" w14:textId="77777777" w:rsidR="006D7DAD" w:rsidRPr="002E1AB6" w:rsidRDefault="006D7DAD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Fonts w:ascii="Times New Roman" w:hAnsi="Times New Roman" w:cs="Times New Roman"/>
          <w:color w:val="auto"/>
          <w:szCs w:val="24"/>
        </w:rPr>
        <w:lastRenderedPageBreak/>
        <w:t>Zalecenia Rady UE dla państw członkowskich</w:t>
      </w:r>
      <w:r w:rsidR="00BF4B34" w:rsidRPr="002E1AB6">
        <w:rPr>
          <w:rFonts w:ascii="Times New Roman" w:hAnsi="Times New Roman" w:cs="Times New Roman"/>
          <w:color w:val="auto"/>
          <w:szCs w:val="24"/>
        </w:rPr>
        <w:t xml:space="preserve"> (CSR)</w:t>
      </w:r>
    </w:p>
    <w:p w14:paraId="63B6855E" w14:textId="3CF51002" w:rsidR="00F01211" w:rsidRPr="002E1AB6" w:rsidRDefault="006D7DAD" w:rsidP="002E1AB6">
      <w:pPr>
        <w:pStyle w:val="NormalnyWeb"/>
        <w:spacing w:line="276" w:lineRule="auto"/>
        <w:jc w:val="both"/>
      </w:pPr>
      <w:r w:rsidRPr="002E1AB6">
        <w:t>Publikacja zaleceń dla poszczególnych państw członkowskich (ang. country-</w:t>
      </w:r>
      <w:proofErr w:type="spellStart"/>
      <w:r w:rsidRPr="002E1AB6">
        <w:t>specific</w:t>
      </w:r>
      <w:proofErr w:type="spellEnd"/>
      <w:r w:rsidRPr="002E1AB6">
        <w:t xml:space="preserve"> </w:t>
      </w:r>
      <w:proofErr w:type="spellStart"/>
      <w:r w:rsidRPr="002E1AB6">
        <w:t>recommendations</w:t>
      </w:r>
      <w:proofErr w:type="spellEnd"/>
      <w:r w:rsidRPr="002E1AB6">
        <w:t xml:space="preserve"> – CSR) stanowi końcowy etap corocznego cyklu Semestru Europejskiego. KE w maju przedstawia projekt zaleceń Rady dla poszczególnych państw członkowskich. Jest on wynikiem analizy działań podejmowanych przez kraje UE wynikających z Krajowych Programów Reform (KPR) oraz Programów Stabilności lub Konwergencji. Zalecenia są następnie przedmiotem dyskusji i ewentualnych korekt na forum komitetów Rady UE, właściwych formacji Rady oraz na posiedzeniu Rady Europejskiej</w:t>
      </w:r>
      <w:r w:rsidR="00F01211" w:rsidRPr="002E1AB6">
        <w:t xml:space="preserve"> </w:t>
      </w:r>
      <w:r w:rsidR="00F01211" w:rsidRPr="002E1AB6">
        <w:t>w czerwcu każdego roku. Ostatecznie zalecenia są przyjmowane przez ECOFIN w lipcu.</w:t>
      </w:r>
    </w:p>
    <w:p w14:paraId="35E36E5F" w14:textId="6C274CE6" w:rsidR="006D7DAD" w:rsidRPr="002E1AB6" w:rsidRDefault="006D7DAD" w:rsidP="002E1AB6">
      <w:pPr>
        <w:pStyle w:val="NormalnyWeb"/>
        <w:spacing w:line="276" w:lineRule="auto"/>
        <w:jc w:val="both"/>
      </w:pPr>
    </w:p>
    <w:p w14:paraId="710DFB44" w14:textId="77777777" w:rsidR="006D7DAD" w:rsidRPr="002E1AB6" w:rsidRDefault="006D7DAD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Fonts w:ascii="Times New Roman" w:hAnsi="Times New Roman" w:cs="Times New Roman"/>
          <w:color w:val="auto"/>
          <w:szCs w:val="24"/>
        </w:rPr>
        <w:t xml:space="preserve">Program Konwergencji </w:t>
      </w:r>
    </w:p>
    <w:p w14:paraId="406D47DB" w14:textId="706D3A7A" w:rsidR="006D7DAD" w:rsidRPr="002E1AB6" w:rsidRDefault="006D7DAD" w:rsidP="002E1AB6">
      <w:pPr>
        <w:pStyle w:val="NormalnyWeb"/>
        <w:spacing w:line="276" w:lineRule="auto"/>
        <w:jc w:val="both"/>
      </w:pPr>
      <w:r w:rsidRPr="002E1AB6">
        <w:t xml:space="preserve">Pakt na rzecz Stabilności i Wzrostu zobowiązuje państwa członkowskie strefy euro do przygotowywania co roku Programów </w:t>
      </w:r>
      <w:r w:rsidR="00F01211" w:rsidRPr="002E1AB6">
        <w:t>S</w:t>
      </w:r>
      <w:r w:rsidRPr="002E1AB6">
        <w:t xml:space="preserve">tabilności, zaś pozostałe państwa członkowskie UE do przygotowywania Programów </w:t>
      </w:r>
      <w:r w:rsidR="00F01211" w:rsidRPr="002E1AB6">
        <w:t>K</w:t>
      </w:r>
      <w:r w:rsidRPr="002E1AB6">
        <w:t>onwergencji. W programach państwa członkowskie przedstawiają swoje średniookresowe strategie budżetowe na co najmniej trzy kolejne lata. Ich celem jest zapewnienie dyscypliny budżetowej poprzez nadzór i koordynację polityki budżetowej w strefie euro i całej UE.</w:t>
      </w:r>
    </w:p>
    <w:p w14:paraId="3B6A629E" w14:textId="77777777" w:rsidR="006D7DAD" w:rsidRPr="002E1AB6" w:rsidRDefault="006D7DAD" w:rsidP="002E1AB6">
      <w:pPr>
        <w:pStyle w:val="NormalnyWeb"/>
        <w:spacing w:line="276" w:lineRule="auto"/>
        <w:jc w:val="both"/>
      </w:pPr>
      <w:r w:rsidRPr="002E1AB6">
        <w:t>Zgodnie z cyklem Semestru Europejskiego, dokumenty te są przekazywane KE w kwietniu każdego roku, razem z Krajowymi Programami Reform. Są one następnie oceniane przez KE i Radę UE, stanowiąc podstawę zaleceń dla państw członkowskich.</w:t>
      </w:r>
    </w:p>
    <w:p w14:paraId="7B561ADE" w14:textId="77777777" w:rsidR="00430108" w:rsidRPr="002E1AB6" w:rsidRDefault="00430108" w:rsidP="002E1AB6">
      <w:pPr>
        <w:pStyle w:val="NormalnyWeb"/>
        <w:spacing w:line="276" w:lineRule="auto"/>
        <w:jc w:val="both"/>
      </w:pPr>
      <w:r w:rsidRPr="002E1AB6">
        <w:t xml:space="preserve">5. Na czym polega procedura nierównowagi ekonomicznej? </w:t>
      </w:r>
    </w:p>
    <w:p w14:paraId="31519DD3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t>Kryzys gospodarczy w UE na przełomie pierwszej i drugiej dekady XXI wieku ujawnił nie tylko głęboką nierównowagę w finansach publicznych niektórych krajów strefy euro, ale również występowanie nierównowag i dysfunkcji w innych obszarach życia gospodarczego. Dlatego, w 2011 r. obok wzmocnienia instrumentów zapobiegania i naprawy nierównowag budżetowych, ustanowiono też specjalną procedurę zapobiegania i korekty nadmiernych zakłóceń równowag makroekonomicznych (</w:t>
      </w:r>
      <w:proofErr w:type="spellStart"/>
      <w:r w:rsidRPr="002E1AB6">
        <w:t>Macroeconomic</w:t>
      </w:r>
      <w:proofErr w:type="spellEnd"/>
      <w:r w:rsidRPr="002E1AB6">
        <w:t xml:space="preserve"> </w:t>
      </w:r>
      <w:proofErr w:type="spellStart"/>
      <w:r w:rsidRPr="002E1AB6">
        <w:t>Imbalance</w:t>
      </w:r>
      <w:proofErr w:type="spellEnd"/>
      <w:r w:rsidRPr="002E1AB6">
        <w:t xml:space="preserve"> </w:t>
      </w:r>
      <w:proofErr w:type="spellStart"/>
      <w:r w:rsidRPr="002E1AB6">
        <w:t>Procedure</w:t>
      </w:r>
      <w:proofErr w:type="spellEnd"/>
      <w:r w:rsidRPr="002E1AB6">
        <w:t xml:space="preserve"> – MIP).</w:t>
      </w:r>
    </w:p>
    <w:p w14:paraId="23208624" w14:textId="77777777" w:rsidR="00430108" w:rsidRPr="002E1AB6" w:rsidRDefault="00430108" w:rsidP="002E1AB6">
      <w:pPr>
        <w:pStyle w:val="NormalnyWeb"/>
        <w:spacing w:line="276" w:lineRule="auto"/>
        <w:jc w:val="both"/>
      </w:pPr>
      <w:r w:rsidRPr="002E1AB6">
        <w:t>Procedura nierównowagi ekonomicznej składa się z następujących elementów:</w:t>
      </w:r>
    </w:p>
    <w:p w14:paraId="31C6C86E" w14:textId="77777777" w:rsidR="009B59FD" w:rsidRPr="002E1AB6" w:rsidRDefault="009B59FD" w:rsidP="002E1AB6">
      <w:pPr>
        <w:pStyle w:val="Nagwek4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Sprawozdanie ostrzegawcze</w:t>
      </w:r>
    </w:p>
    <w:p w14:paraId="3203E407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t>Zgodnie z rytmem Semestru Europejskiego, pierwszym etapem w procedurze MIP jest publikacja przez KE w listopadzie każdego roku, razem z Roczną analizą wzrostu gospodarczego (</w:t>
      </w:r>
      <w:proofErr w:type="spellStart"/>
      <w:r w:rsidRPr="002E1AB6">
        <w:t>Annual</w:t>
      </w:r>
      <w:proofErr w:type="spellEnd"/>
      <w:r w:rsidRPr="002E1AB6">
        <w:t xml:space="preserve"> </w:t>
      </w:r>
      <w:proofErr w:type="spellStart"/>
      <w:r w:rsidRPr="002E1AB6">
        <w:t>Growth</w:t>
      </w:r>
      <w:proofErr w:type="spellEnd"/>
      <w:r w:rsidRPr="002E1AB6">
        <w:t xml:space="preserve"> </w:t>
      </w:r>
      <w:proofErr w:type="spellStart"/>
      <w:r w:rsidRPr="002E1AB6">
        <w:t>Survey</w:t>
      </w:r>
      <w:proofErr w:type="spellEnd"/>
      <w:r w:rsidRPr="002E1AB6">
        <w:t xml:space="preserve">-AGS), tzw. Sprawozdania ostrzegawczego (Alert </w:t>
      </w:r>
      <w:proofErr w:type="spellStart"/>
      <w:r w:rsidRPr="002E1AB6">
        <w:t>Mechanism</w:t>
      </w:r>
      <w:proofErr w:type="spellEnd"/>
      <w:r w:rsidRPr="002E1AB6">
        <w:t xml:space="preserve"> Report – AMR). Służy ono jako narzędzie wstępnej diagnozy, opartej na tabeli wskaźników z wartościami progowymi oraz zestawie wskaźników uzupełniających.</w:t>
      </w:r>
    </w:p>
    <w:p w14:paraId="5A4F9FA2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lastRenderedPageBreak/>
        <w:t>Tablica zawiera 14 wskaźników, służących monitorowaniu konkurencyjności i nierównowag zewnętrznych, jak i wewnętrznych poszczególnych krajów.</w:t>
      </w:r>
    </w:p>
    <w:p w14:paraId="3BABE171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t>Zakłócenia równowagi oraz konkurencyjność w kategoriach zewnętrznych:</w:t>
      </w:r>
    </w:p>
    <w:p w14:paraId="4BF492DA" w14:textId="77777777" w:rsidR="009B59FD" w:rsidRPr="002E1AB6" w:rsidRDefault="009B59FD" w:rsidP="002E1A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saldo rachunku obrotów bieżących (w % PKB średnia z 3 lat, wartości progowe −4/+6%);</w:t>
      </w:r>
    </w:p>
    <w:p w14:paraId="00B29721" w14:textId="77777777" w:rsidR="009B59FD" w:rsidRPr="002E1AB6" w:rsidRDefault="009B59FD" w:rsidP="002E1A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międzynarodowa pozycja inwestycyjna netto (w % PKB, wartość progowa </w:t>
      </w:r>
      <w:r w:rsidRPr="002E1AB6">
        <w:rPr>
          <w:rFonts w:cs="Times New Roman"/>
          <w:szCs w:val="24"/>
        </w:rPr>
        <w:softHyphen/>
        <w:t>35%);</w:t>
      </w:r>
    </w:p>
    <w:p w14:paraId="5E5C8FF9" w14:textId="77777777" w:rsidR="009B59FD" w:rsidRPr="002E1AB6" w:rsidRDefault="009B59FD" w:rsidP="002E1A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realny efektywny kurs walutowy (zmiana w % w okresie 3 lat, wartości progowe −/+5% dla krajów strefy euro, </w:t>
      </w:r>
      <w:r w:rsidRPr="002E1AB6">
        <w:rPr>
          <w:rFonts w:cs="Times New Roman"/>
          <w:szCs w:val="24"/>
        </w:rPr>
        <w:softHyphen/>
        <w:t>/+11% dla krajów spoza strefy euro);</w:t>
      </w:r>
    </w:p>
    <w:p w14:paraId="200C2C23" w14:textId="77777777" w:rsidR="009B59FD" w:rsidRPr="002E1AB6" w:rsidRDefault="009B59FD" w:rsidP="002E1A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udział w rynkach eksportowych(zmiana w % w okresie 5 lat, wartość progowa </w:t>
      </w:r>
      <w:r w:rsidRPr="002E1AB6">
        <w:rPr>
          <w:rFonts w:cs="Times New Roman"/>
          <w:szCs w:val="24"/>
        </w:rPr>
        <w:softHyphen/>
        <w:t>6%);</w:t>
      </w:r>
    </w:p>
    <w:p w14:paraId="0E05F024" w14:textId="77777777" w:rsidR="009B59FD" w:rsidRPr="002E1AB6" w:rsidRDefault="009B59FD" w:rsidP="002E1AB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nominalne jednostkowe koszty pracy (zmiana w % w okresie 3 lat, wartości progowe +9% dla krajów strefy euro, +12% dla krajów spoza strefy euro).</w:t>
      </w:r>
    </w:p>
    <w:p w14:paraId="14DA5C1D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t>Zakłócenia równowagi w kategoriach wewnętrznych:</w:t>
      </w:r>
    </w:p>
    <w:p w14:paraId="180C7F82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ceny nieruchomości (w przeliczeniu na ceny stałe, zmiana w % w ujęciu rok do roku, wartość progowa +6%);</w:t>
      </w:r>
    </w:p>
    <w:p w14:paraId="32844FD5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przepływy kredytowe sektora prywatnego (w % PKB, skonsolidowane, wartość progowa 14%);</w:t>
      </w:r>
    </w:p>
    <w:p w14:paraId="18F75B4C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zadłużenie sektora prywatnego (w % PKB, skonsolidowane, wartość progowa 133%);</w:t>
      </w:r>
    </w:p>
    <w:p w14:paraId="64763FEF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dług sektora instytucji rządowych i samorządowych (w % PKB, skonsolidowany, wartość progowa 60%);</w:t>
      </w:r>
    </w:p>
    <w:p w14:paraId="277F9F0C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zobowiązania ogółem sektora finansowego (zmiana w % w ujęciu rok do roku, wartość progowa +16,5%);</w:t>
      </w:r>
    </w:p>
    <w:p w14:paraId="6605666D" w14:textId="77777777" w:rsidR="009B59FD" w:rsidRPr="002E1AB6" w:rsidRDefault="009B59FD" w:rsidP="002E1AB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stopa bezrobocia (średnia z 3 lat w %, wartość progowa 10%).</w:t>
      </w:r>
    </w:p>
    <w:p w14:paraId="78373FFB" w14:textId="77777777" w:rsidR="009B59FD" w:rsidRPr="002E1AB6" w:rsidRDefault="009B59FD" w:rsidP="002E1AB6">
      <w:pPr>
        <w:pStyle w:val="NormalnyWeb"/>
        <w:spacing w:line="276" w:lineRule="auto"/>
        <w:jc w:val="both"/>
      </w:pPr>
      <w:r w:rsidRPr="002E1AB6">
        <w:t>Nowe wskaźniki dotyczące zatrudnienia:</w:t>
      </w:r>
    </w:p>
    <w:p w14:paraId="7A9E7EF6" w14:textId="77777777" w:rsidR="009B59FD" w:rsidRPr="002E1AB6" w:rsidRDefault="009B59FD" w:rsidP="002E1AB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współczynnik aktywności zawodowej (% ludności ogółem w wieku 15 – 64 l., zmiana w </w:t>
      </w:r>
      <w:proofErr w:type="spellStart"/>
      <w:r w:rsidRPr="002E1AB6">
        <w:rPr>
          <w:rFonts w:cs="Times New Roman"/>
          <w:szCs w:val="24"/>
        </w:rPr>
        <w:t>p.p</w:t>
      </w:r>
      <w:proofErr w:type="spellEnd"/>
      <w:r w:rsidRPr="002E1AB6">
        <w:rPr>
          <w:rFonts w:cs="Times New Roman"/>
          <w:szCs w:val="24"/>
        </w:rPr>
        <w:t>. za okres 3 lat, wartość progowa −0,2%);</w:t>
      </w:r>
    </w:p>
    <w:p w14:paraId="2D798A18" w14:textId="77777777" w:rsidR="009B59FD" w:rsidRPr="002E1AB6" w:rsidRDefault="009B59FD" w:rsidP="002E1AB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stopa bezrobocia długotrwałego (% ludności aktywnej zawodowo w wieku 15 – 74 l. zmiana w </w:t>
      </w:r>
      <w:proofErr w:type="spellStart"/>
      <w:r w:rsidRPr="002E1AB6">
        <w:rPr>
          <w:rFonts w:cs="Times New Roman"/>
          <w:szCs w:val="24"/>
        </w:rPr>
        <w:t>p.p</w:t>
      </w:r>
      <w:proofErr w:type="spellEnd"/>
      <w:r w:rsidRPr="002E1AB6">
        <w:rPr>
          <w:rFonts w:cs="Times New Roman"/>
          <w:szCs w:val="24"/>
        </w:rPr>
        <w:t>. za okres 3 lat, wartość progowa 0,5%);</w:t>
      </w:r>
    </w:p>
    <w:p w14:paraId="2AB395C2" w14:textId="77777777" w:rsidR="009B59FD" w:rsidRPr="002E1AB6" w:rsidRDefault="009B59FD" w:rsidP="002E1AB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stopa bezrobocia młodzieży (% ludności aktywnej zawodowo w wieku 15 – 24 l., zmiana w </w:t>
      </w:r>
      <w:proofErr w:type="spellStart"/>
      <w:r w:rsidRPr="002E1AB6">
        <w:rPr>
          <w:rFonts w:cs="Times New Roman"/>
          <w:szCs w:val="24"/>
        </w:rPr>
        <w:t>p.p</w:t>
      </w:r>
      <w:proofErr w:type="spellEnd"/>
      <w:r w:rsidRPr="002E1AB6">
        <w:rPr>
          <w:rFonts w:cs="Times New Roman"/>
          <w:szCs w:val="24"/>
        </w:rPr>
        <w:t>. za okres 3 lat, wartość progowa 0,2%.  </w:t>
      </w:r>
    </w:p>
    <w:p w14:paraId="4685018D" w14:textId="77777777" w:rsidR="009B59FD" w:rsidRPr="002E1AB6" w:rsidRDefault="009B59FD" w:rsidP="002E1AB6">
      <w:pPr>
        <w:pStyle w:val="Akapitzlist"/>
        <w:jc w:val="both"/>
        <w:rPr>
          <w:rFonts w:cs="Times New Roman"/>
          <w:szCs w:val="24"/>
        </w:rPr>
      </w:pPr>
    </w:p>
    <w:p w14:paraId="77996266" w14:textId="77777777" w:rsidR="004A226F" w:rsidRPr="002E1AB6" w:rsidRDefault="004A226F" w:rsidP="002E1AB6">
      <w:pPr>
        <w:pStyle w:val="Akapitzlist"/>
        <w:jc w:val="both"/>
        <w:rPr>
          <w:rFonts w:cs="Times New Roman"/>
          <w:szCs w:val="24"/>
        </w:rPr>
      </w:pPr>
    </w:p>
    <w:p w14:paraId="5260DDA3" w14:textId="42F4DE23" w:rsidR="004A226F" w:rsidRPr="002E1AB6" w:rsidRDefault="004A226F" w:rsidP="002E1AB6">
      <w:pPr>
        <w:jc w:val="both"/>
        <w:rPr>
          <w:rFonts w:cs="Times New Roman"/>
          <w:b/>
          <w:szCs w:val="24"/>
        </w:rPr>
      </w:pPr>
      <w:r w:rsidRPr="002E1AB6">
        <w:rPr>
          <w:rFonts w:cs="Times New Roman"/>
          <w:b/>
          <w:szCs w:val="24"/>
        </w:rPr>
        <w:t>Zlecenia dla Polski –</w:t>
      </w:r>
      <w:r w:rsidR="00430108" w:rsidRPr="002E1AB6">
        <w:rPr>
          <w:rFonts w:cs="Times New Roman"/>
          <w:b/>
          <w:szCs w:val="24"/>
        </w:rPr>
        <w:t xml:space="preserve"> </w:t>
      </w:r>
      <w:r w:rsidRPr="002E1AB6">
        <w:rPr>
          <w:rFonts w:cs="Times New Roman"/>
          <w:b/>
          <w:szCs w:val="24"/>
        </w:rPr>
        <w:t xml:space="preserve"> CSR </w:t>
      </w:r>
      <w:r w:rsidR="00430108" w:rsidRPr="002E1AB6">
        <w:rPr>
          <w:rFonts w:cs="Times New Roman"/>
          <w:b/>
          <w:szCs w:val="24"/>
        </w:rPr>
        <w:t xml:space="preserve">– </w:t>
      </w:r>
      <w:r w:rsidR="00906AEE" w:rsidRPr="002E1AB6">
        <w:rPr>
          <w:rFonts w:cs="Times New Roman"/>
          <w:b/>
          <w:szCs w:val="24"/>
        </w:rPr>
        <w:t>cztery</w:t>
      </w:r>
      <w:r w:rsidR="00430108" w:rsidRPr="002E1AB6">
        <w:rPr>
          <w:rFonts w:cs="Times New Roman"/>
          <w:b/>
          <w:szCs w:val="24"/>
        </w:rPr>
        <w:t xml:space="preserve"> ostatnie cykle </w:t>
      </w:r>
    </w:p>
    <w:p w14:paraId="69239658" w14:textId="77777777" w:rsidR="004A226F" w:rsidRPr="002E1AB6" w:rsidRDefault="004A226F" w:rsidP="002E1AB6">
      <w:pPr>
        <w:pStyle w:val="NormalnyWeb"/>
        <w:spacing w:line="276" w:lineRule="auto"/>
        <w:jc w:val="both"/>
        <w:rPr>
          <w:u w:val="single"/>
        </w:rPr>
      </w:pPr>
      <w:r w:rsidRPr="002E1AB6">
        <w:rPr>
          <w:u w:val="single"/>
        </w:rPr>
        <w:t>Rada UE zaleca Polsce podjęcie w latach 2019-2020 działań mających na celu:</w:t>
      </w:r>
    </w:p>
    <w:p w14:paraId="154BAFE6" w14:textId="77777777" w:rsidR="004A226F" w:rsidRPr="002E1AB6" w:rsidRDefault="004A226F" w:rsidP="002E1AB6">
      <w:pPr>
        <w:pStyle w:val="NormalnyWeb"/>
        <w:numPr>
          <w:ilvl w:val="0"/>
          <w:numId w:val="8"/>
        </w:numPr>
        <w:spacing w:line="276" w:lineRule="auto"/>
        <w:jc w:val="both"/>
      </w:pPr>
      <w:r w:rsidRPr="002E1AB6">
        <w:t xml:space="preserve">Zapewnienie, by nominalna stopa wzrostu publicznych wydatków pierwotnych netto nie przekroczyła 4,4 % w 2020 r., co odpowiadałoby rocznej korekcie strukturalnej </w:t>
      </w:r>
      <w:r w:rsidRPr="002E1AB6">
        <w:lastRenderedPageBreak/>
        <w:t>wynoszącej 0,6 % PKB. Podjęcie dalszych działań</w:t>
      </w:r>
      <w:r w:rsidR="00430108" w:rsidRPr="002E1AB6">
        <w:t xml:space="preserve"> </w:t>
      </w:r>
      <w:r w:rsidRPr="002E1AB6">
        <w:t xml:space="preserve">w celu zwiększenia efektywności wydatków publicznych, w tym przez udoskonalenie systemu budżetowego </w:t>
      </w:r>
    </w:p>
    <w:p w14:paraId="13A7BCAF" w14:textId="77777777" w:rsidR="004A226F" w:rsidRPr="002E1AB6" w:rsidRDefault="004A226F" w:rsidP="002E1AB6">
      <w:pPr>
        <w:pStyle w:val="NormalnyWeb"/>
        <w:numPr>
          <w:ilvl w:val="0"/>
          <w:numId w:val="8"/>
        </w:numPr>
        <w:spacing w:line="276" w:lineRule="auto"/>
        <w:jc w:val="both"/>
      </w:pPr>
      <w:r w:rsidRPr="002E1AB6">
        <w:t>Zapewnienie adekwatnej wysokości przyszłych świadczeń emerytalnych i stabilności systemu emerytalnego przez podjęcie środków służących podwyższaniu rzeczywistego wieku przejścia na emeryturę i przez reformę preferencyj</w:t>
      </w:r>
      <w:r w:rsidRPr="002E1AB6">
        <w:softHyphen/>
        <w:t>nych systemów emerytalno-rentowych. Podjęcie działań w celu zwiększenia uczestnictwa w rynku pracy, w tym przez poprawę dostępu do opieki nad dziećmi i do opieki długoterminowej, oraz w celu likwidacji utrzymujących się</w:t>
      </w:r>
      <w:r w:rsidR="00430108" w:rsidRPr="002E1AB6">
        <w:t xml:space="preserve"> </w:t>
      </w:r>
      <w:r w:rsidRPr="002E1AB6">
        <w:t>przeszkód dla bardziej trwałych form zatrudnienia. Wspieranie wysokiej jakości kształcenia i umiejętności odpowia</w:t>
      </w:r>
      <w:r w:rsidRPr="002E1AB6">
        <w:softHyphen/>
        <w:t xml:space="preserve">dających potrzebom rynku pracy, zwłaszcza poprzez kształcenie dorosłych </w:t>
      </w:r>
    </w:p>
    <w:p w14:paraId="24FE4CE8" w14:textId="77777777" w:rsidR="004A226F" w:rsidRPr="002E1AB6" w:rsidRDefault="004A226F" w:rsidP="002E1AB6">
      <w:pPr>
        <w:pStyle w:val="NormalnyWeb"/>
        <w:numPr>
          <w:ilvl w:val="0"/>
          <w:numId w:val="8"/>
        </w:numPr>
        <w:spacing w:line="276" w:lineRule="auto"/>
        <w:jc w:val="both"/>
      </w:pPr>
      <w:r w:rsidRPr="002E1AB6">
        <w:t>Wzmocnienie zdolności gospodarki do innowacji, w tym poprzez wspieranie instytucji badawczych i ich ściślejszej współpracy z przedsiębiorstwami. Ukierunkowanie inwestycyjnej polityki gospodarczej na innowacje, transport, w szczególności jego zrównoważony charakter, na infrastrukturę cyfrową i energetyczną, opiekę zdrowotną oraz czystszą energię, z uwzględnieniem różnic regionalnych. Poprawę otoczenia regulacyjnego, w szczególności poprzez zwiększenie roli konsultacji z partnerami społecznymi i konsultacji publicznych w procesie legislacyjnym.</w:t>
      </w:r>
    </w:p>
    <w:p w14:paraId="4AD9371F" w14:textId="2A5B1093" w:rsidR="004A226F" w:rsidRPr="002E1AB6" w:rsidRDefault="004A226F" w:rsidP="002E1AB6">
      <w:pPr>
        <w:pStyle w:val="NormalnyWeb"/>
        <w:spacing w:line="276" w:lineRule="auto"/>
        <w:ind w:left="720"/>
        <w:jc w:val="both"/>
      </w:pPr>
    </w:p>
    <w:p w14:paraId="029797B2" w14:textId="77777777" w:rsidR="003D4C9F" w:rsidRPr="002E1AB6" w:rsidRDefault="003D4C9F" w:rsidP="002E1AB6">
      <w:pPr>
        <w:pStyle w:val="NormalnyWeb"/>
        <w:spacing w:line="276" w:lineRule="auto"/>
        <w:ind w:left="720"/>
        <w:jc w:val="both"/>
      </w:pPr>
    </w:p>
    <w:p w14:paraId="0A248E1C" w14:textId="299278E4" w:rsidR="004A226F" w:rsidRPr="002E1AB6" w:rsidRDefault="004A226F" w:rsidP="002E1AB6">
      <w:pPr>
        <w:pStyle w:val="NormalnyWeb"/>
        <w:spacing w:line="276" w:lineRule="auto"/>
        <w:jc w:val="both"/>
        <w:rPr>
          <w:u w:val="single"/>
        </w:rPr>
      </w:pPr>
      <w:r w:rsidRPr="002E1AB6">
        <w:rPr>
          <w:u w:val="single"/>
        </w:rPr>
        <w:t>Rada UE zaleca</w:t>
      </w:r>
      <w:r w:rsidR="00906AEE" w:rsidRPr="002E1AB6">
        <w:rPr>
          <w:u w:val="single"/>
        </w:rPr>
        <w:t xml:space="preserve">ła </w:t>
      </w:r>
      <w:r w:rsidRPr="002E1AB6">
        <w:rPr>
          <w:u w:val="single"/>
        </w:rPr>
        <w:t>Polsce podjęcie w latach 2018-2019 działań mających na celu:</w:t>
      </w:r>
    </w:p>
    <w:p w14:paraId="376C8697" w14:textId="77777777" w:rsidR="004A226F" w:rsidRPr="002E1AB6" w:rsidRDefault="004A226F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1. Zapewnienie, by nominalna stopa wzrostu publicznych wydatków pierwotnych netto nie przekroczyła 4,2 % w 2019 r., co odpowiadałoby rocznej korekcie strukturalnej wynoszącej 0,6 % PKB. Podjęcie działań w celu zwiększenia efektywności wydatków publicznych, w tym przez reformę procesu budżetowego.</w:t>
      </w:r>
    </w:p>
    <w:p w14:paraId="59740E18" w14:textId="77777777" w:rsidR="004A226F" w:rsidRPr="002E1AB6" w:rsidRDefault="004A226F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 2. Podjęcie działań w celu zwiększenia uczestnictwa w rynku pracy, w tym przez poprawę dostępu do opieki nad dziećmi i rozwój umiejętności przydatnych na rynku pracy, zwłaszcza przez wspieranie uczenia się dorosłych, oraz w celu likwidacji utrzymujących się przeszkód dla bardziej trwałych form zatrudnienia. Zapewnienie stabilności i adekwatności systemu emerytalnego przez wprowadzenie środków służących podwyższeniu rzeczywistego wieku przejścia na emeryturę i przez wdrożenie reformy preferencyjnych systemów emerytalno-rentowych. </w:t>
      </w:r>
    </w:p>
    <w:p w14:paraId="544D943F" w14:textId="77777777" w:rsidR="004A226F" w:rsidRPr="002E1AB6" w:rsidRDefault="004A226F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3.Wzmocnienie zdolności gospodarki do innowacji, w tym przez wspieranie ściślejszej współpracy pomiędzy przedsiębiorstwami a instytucjami badawczymi. Poprawę otoczenia regulacyjnego, w szczególności przez zapewnienie skutecznych konsultacji publicznych i społecznych w procesie legislacyjnym.</w:t>
      </w:r>
    </w:p>
    <w:p w14:paraId="3F3D1372" w14:textId="77777777" w:rsidR="009B6202" w:rsidRPr="002E1AB6" w:rsidRDefault="009B6202" w:rsidP="002E1AB6">
      <w:pPr>
        <w:jc w:val="both"/>
        <w:rPr>
          <w:rFonts w:cs="Times New Roman"/>
          <w:szCs w:val="24"/>
        </w:rPr>
      </w:pPr>
    </w:p>
    <w:p w14:paraId="251FDF19" w14:textId="436E292C" w:rsidR="004A226F" w:rsidRPr="002E1AB6" w:rsidRDefault="004A226F" w:rsidP="002E1AB6">
      <w:pPr>
        <w:pStyle w:val="NormalnyWeb"/>
        <w:spacing w:line="276" w:lineRule="auto"/>
        <w:jc w:val="both"/>
        <w:rPr>
          <w:u w:val="single"/>
        </w:rPr>
      </w:pPr>
      <w:r w:rsidRPr="002E1AB6">
        <w:rPr>
          <w:u w:val="single"/>
        </w:rPr>
        <w:t>Rada UE zaleca</w:t>
      </w:r>
      <w:r w:rsidR="00906AEE" w:rsidRPr="002E1AB6">
        <w:rPr>
          <w:u w:val="single"/>
        </w:rPr>
        <w:t>ła</w:t>
      </w:r>
      <w:r w:rsidRPr="002E1AB6">
        <w:rPr>
          <w:u w:val="single"/>
        </w:rPr>
        <w:t xml:space="preserve"> Polsce podjęcie w latach 2017-2018 działań mających na celu:</w:t>
      </w:r>
    </w:p>
    <w:p w14:paraId="52BE7E06" w14:textId="77777777" w:rsidR="004A226F" w:rsidRPr="002E1AB6" w:rsidRDefault="00430108" w:rsidP="002E1A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E1AB6">
        <w:rPr>
          <w:rFonts w:ascii="Times New Roman" w:hAnsi="Times New Roman" w:cs="Times New Roman"/>
          <w:color w:val="auto"/>
        </w:rPr>
        <w:lastRenderedPageBreak/>
        <w:t>1.</w:t>
      </w:r>
      <w:r w:rsidR="004A226F" w:rsidRPr="002E1AB6">
        <w:rPr>
          <w:rFonts w:ascii="Times New Roman" w:hAnsi="Times New Roman" w:cs="Times New Roman"/>
          <w:color w:val="auto"/>
        </w:rPr>
        <w:t>Realizację znacznego wysiłku fiskalnego w 2018 r. zgodnie z wymogami części zapobiegawczej paktu stabilności i wzrostu, z uwzględnieniem potrzeby wzmocnienia obecnego ożywienia koniunktury i zapewnienia stabilności finansów publicznych Polski. Podjęcie działań w celu zwiększenia efektywności wydatków publicznych oraz ograniczenia stosowania stawek obniżonych VAT.</w:t>
      </w:r>
    </w:p>
    <w:p w14:paraId="70F59201" w14:textId="77777777" w:rsidR="004A226F" w:rsidRPr="002E1AB6" w:rsidRDefault="004A226F" w:rsidP="002E1A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7EF2ACD" w14:textId="77777777" w:rsidR="004A226F" w:rsidRPr="002E1AB6" w:rsidRDefault="00430108" w:rsidP="002E1A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E1AB6">
        <w:rPr>
          <w:rFonts w:ascii="Times New Roman" w:hAnsi="Times New Roman" w:cs="Times New Roman"/>
          <w:color w:val="auto"/>
        </w:rPr>
        <w:t xml:space="preserve">2. </w:t>
      </w:r>
      <w:r w:rsidR="004A226F" w:rsidRPr="002E1AB6">
        <w:rPr>
          <w:rFonts w:ascii="Times New Roman" w:hAnsi="Times New Roman" w:cs="Times New Roman"/>
          <w:color w:val="auto"/>
        </w:rPr>
        <w:t>Podjęcie działań w celu zwiększenia uczestnictwa w rynku pracy, w szczególności w odniesieniu do kobiet, osób o niskich kwalifikacjach i osób starszych, w tym przez wspieranie odpowiednich umiejętności i usunięcie przeszkód dla bardziej trwałych form zatrudnienia. Zapewnienie stabilności i adekwatności systemu emerytalnego przez wprowadzenie środków służących podwyższeniu rzeczywistego wieku przejścia na emeryturę i przez rozpoczęcie reformy preferencyjnych systemów emerytalno-rentowych.</w:t>
      </w:r>
    </w:p>
    <w:p w14:paraId="4D49A675" w14:textId="77777777" w:rsidR="004A226F" w:rsidRPr="002E1AB6" w:rsidRDefault="004A226F" w:rsidP="002E1A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D83A1E2" w14:textId="77777777" w:rsidR="004A226F" w:rsidRPr="002E1AB6" w:rsidRDefault="00430108" w:rsidP="002E1AB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E1AB6">
        <w:rPr>
          <w:rFonts w:ascii="Times New Roman" w:hAnsi="Times New Roman" w:cs="Times New Roman"/>
          <w:color w:val="auto"/>
        </w:rPr>
        <w:t>3.</w:t>
      </w:r>
      <w:r w:rsidR="004A226F" w:rsidRPr="002E1AB6">
        <w:rPr>
          <w:rFonts w:ascii="Times New Roman" w:hAnsi="Times New Roman" w:cs="Times New Roman"/>
          <w:color w:val="auto"/>
        </w:rPr>
        <w:t>Podjęcie działań w celu usunięcia przeszkód dla inwestycji, w szczególności w sektorze transportu.</w:t>
      </w:r>
    </w:p>
    <w:p w14:paraId="5DE62A99" w14:textId="77777777" w:rsidR="009B6202" w:rsidRPr="002E1AB6" w:rsidRDefault="009B6202" w:rsidP="002E1AB6">
      <w:pPr>
        <w:jc w:val="both"/>
        <w:rPr>
          <w:rFonts w:cs="Times New Roman"/>
          <w:szCs w:val="24"/>
        </w:rPr>
      </w:pPr>
    </w:p>
    <w:p w14:paraId="61FD2511" w14:textId="335510D7" w:rsidR="004A226F" w:rsidRPr="002E1AB6" w:rsidRDefault="004A226F" w:rsidP="002E1AB6">
      <w:pPr>
        <w:pStyle w:val="NormalnyWeb"/>
        <w:spacing w:line="276" w:lineRule="auto"/>
        <w:jc w:val="both"/>
        <w:rPr>
          <w:u w:val="single"/>
        </w:rPr>
      </w:pPr>
      <w:r w:rsidRPr="002E1AB6">
        <w:rPr>
          <w:u w:val="single"/>
        </w:rPr>
        <w:t>Rada UE zaleca</w:t>
      </w:r>
      <w:r w:rsidR="00906AEE" w:rsidRPr="002E1AB6">
        <w:rPr>
          <w:u w:val="single"/>
        </w:rPr>
        <w:t>ła</w:t>
      </w:r>
      <w:r w:rsidRPr="002E1AB6">
        <w:rPr>
          <w:u w:val="single"/>
        </w:rPr>
        <w:t xml:space="preserve"> Polsce podjęcie w latach 2016-2017 działań mających na celu:</w:t>
      </w:r>
    </w:p>
    <w:p w14:paraId="4783F62F" w14:textId="77777777" w:rsidR="004A226F" w:rsidRPr="002E1AB6" w:rsidRDefault="004A226F" w:rsidP="002E1AB6">
      <w:pPr>
        <w:pStyle w:val="NormalnyWeb"/>
        <w:spacing w:line="276" w:lineRule="auto"/>
        <w:jc w:val="both"/>
      </w:pPr>
      <w:r w:rsidRPr="002E1AB6">
        <w:t>1. Dokonanie rocznego dostosowania budżetowego w latach 2016 i 2017 w wysokości 0,5 % PKB prowadzącego do osiągnięcia średniookresowego celu budżetowego. Wzmocnienie ram budżetowych, w tym poprzez ustanowienie niezależnej rady budżetowej. Usprawnienie poboru podatków poprzez zapewnienie poprawy przestrzegania przepisów dotyczących podatku VAT oraz ograniczenie nadmiernego stosowania obniżonych stawek VAT.</w:t>
      </w:r>
    </w:p>
    <w:p w14:paraId="2C885054" w14:textId="77777777" w:rsidR="004A226F" w:rsidRPr="002E1AB6" w:rsidRDefault="004A226F" w:rsidP="002E1AB6">
      <w:pPr>
        <w:pStyle w:val="NormalnyWeb"/>
        <w:spacing w:line="276" w:lineRule="auto"/>
        <w:jc w:val="both"/>
      </w:pPr>
      <w:r w:rsidRPr="002E1AB6">
        <w:t xml:space="preserve"> 2. Zapewnienie stabilności i adekwatności systemu emerytalnego oraz zwiększenie uczestnictwa w rynku pracy poprzez rozpoczęcie reformy preferencyjnych systemów emerytalno-rentowych, usunięcie przeszkód dla bardziej trwałych form zatrudnienia oraz lepsze dostosowanie systemów kształcenia i szkolenia do potrzeb rynku pracy.</w:t>
      </w:r>
    </w:p>
    <w:p w14:paraId="047E6589" w14:textId="77777777" w:rsidR="004A226F" w:rsidRPr="002E1AB6" w:rsidRDefault="004A226F" w:rsidP="002E1AB6">
      <w:pPr>
        <w:pStyle w:val="NormalnyWeb"/>
        <w:spacing w:line="276" w:lineRule="auto"/>
        <w:jc w:val="both"/>
      </w:pPr>
      <w:r w:rsidRPr="002E1AB6">
        <w:t xml:space="preserve"> 3. Podjęcie działań w celu usunięcia przeszkód dla inwestycji w infrastrukturę transportową i energetyczną oraz inwestycji infrastrukturalnych w sektorze budowlanym, a także zwiększenie stopnia pokrycia obszarów gmin planami zagospodarowania przestrzennego.</w:t>
      </w:r>
    </w:p>
    <w:p w14:paraId="0009E309" w14:textId="77777777" w:rsidR="009B6202" w:rsidRPr="002E1AB6" w:rsidRDefault="009B6202" w:rsidP="002E1AB6">
      <w:pPr>
        <w:jc w:val="both"/>
        <w:rPr>
          <w:rFonts w:cs="Times New Roman"/>
          <w:szCs w:val="24"/>
        </w:rPr>
      </w:pPr>
    </w:p>
    <w:p w14:paraId="16576E78" w14:textId="77777777" w:rsidR="009B6202" w:rsidRPr="002E1AB6" w:rsidRDefault="009B6202" w:rsidP="002E1AB6">
      <w:pPr>
        <w:jc w:val="both"/>
        <w:rPr>
          <w:rFonts w:cs="Times New Roman"/>
          <w:b/>
          <w:szCs w:val="24"/>
        </w:rPr>
      </w:pPr>
      <w:r w:rsidRPr="002E1AB6">
        <w:rPr>
          <w:rFonts w:cs="Times New Roman"/>
          <w:b/>
          <w:szCs w:val="24"/>
        </w:rPr>
        <w:t>Źródła</w:t>
      </w:r>
      <w:r w:rsidR="00BF4B34" w:rsidRPr="002E1AB6">
        <w:rPr>
          <w:rFonts w:cs="Times New Roman"/>
          <w:b/>
          <w:szCs w:val="24"/>
        </w:rPr>
        <w:t>:</w:t>
      </w:r>
      <w:r w:rsidRPr="002E1AB6">
        <w:rPr>
          <w:rFonts w:cs="Times New Roman"/>
          <w:b/>
          <w:szCs w:val="24"/>
        </w:rPr>
        <w:t xml:space="preserve"> </w:t>
      </w:r>
    </w:p>
    <w:p w14:paraId="3335ACCA" w14:textId="77777777" w:rsidR="009B6202" w:rsidRPr="002E1AB6" w:rsidRDefault="009B6202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Strona</w:t>
      </w:r>
      <w:r w:rsidR="006D7DAD" w:rsidRPr="002E1AB6">
        <w:rPr>
          <w:rFonts w:cs="Times New Roman"/>
          <w:szCs w:val="24"/>
        </w:rPr>
        <w:t xml:space="preserve"> www</w:t>
      </w:r>
      <w:r w:rsidRPr="002E1AB6">
        <w:rPr>
          <w:rFonts w:cs="Times New Roman"/>
          <w:szCs w:val="24"/>
        </w:rPr>
        <w:t xml:space="preserve"> Rady Europejskiej</w:t>
      </w:r>
      <w:r w:rsidR="00BF4B34" w:rsidRPr="002E1AB6">
        <w:rPr>
          <w:rFonts w:cs="Times New Roman"/>
          <w:szCs w:val="24"/>
        </w:rPr>
        <w:t>/</w:t>
      </w:r>
      <w:r w:rsidRPr="002E1AB6">
        <w:rPr>
          <w:rFonts w:cs="Times New Roman"/>
          <w:szCs w:val="24"/>
        </w:rPr>
        <w:t xml:space="preserve">Rady Unii Europejskiej </w:t>
      </w:r>
    </w:p>
    <w:p w14:paraId="2D32958C" w14:textId="77777777" w:rsidR="009B6202" w:rsidRPr="002E1AB6" w:rsidRDefault="00545E2F" w:rsidP="002E1AB6">
      <w:pPr>
        <w:jc w:val="both"/>
        <w:rPr>
          <w:rFonts w:cs="Times New Roman"/>
          <w:szCs w:val="24"/>
        </w:rPr>
      </w:pPr>
      <w:hyperlink r:id="rId7" w:history="1">
        <w:r w:rsidR="009B6202" w:rsidRPr="002E1AB6">
          <w:rPr>
            <w:rStyle w:val="Hipercze"/>
            <w:rFonts w:cs="Times New Roman"/>
            <w:color w:val="auto"/>
            <w:szCs w:val="24"/>
          </w:rPr>
          <w:t>https://www.consilium.europa.eu/pl/policies/european-semester/</w:t>
        </w:r>
      </w:hyperlink>
    </w:p>
    <w:p w14:paraId="089FED29" w14:textId="77777777" w:rsidR="009B6202" w:rsidRPr="002E1AB6" w:rsidRDefault="006D7DAD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Strona www Ministerstwa Rozwoju </w:t>
      </w:r>
    </w:p>
    <w:p w14:paraId="7A59F470" w14:textId="77777777" w:rsidR="006D7DAD" w:rsidRPr="002E1AB6" w:rsidRDefault="00545E2F" w:rsidP="002E1AB6">
      <w:pPr>
        <w:jc w:val="both"/>
        <w:rPr>
          <w:rFonts w:cs="Times New Roman"/>
          <w:szCs w:val="24"/>
        </w:rPr>
      </w:pPr>
      <w:hyperlink r:id="rId8" w:history="1">
        <w:r w:rsidR="006D7DAD" w:rsidRPr="002E1AB6">
          <w:rPr>
            <w:rStyle w:val="Hipercze"/>
            <w:rFonts w:cs="Times New Roman"/>
            <w:color w:val="auto"/>
            <w:szCs w:val="24"/>
          </w:rPr>
          <w:t>https://www.gov.pl/web/rozwoj/semestr-europejski</w:t>
        </w:r>
      </w:hyperlink>
    </w:p>
    <w:p w14:paraId="680375E1" w14:textId="77777777" w:rsidR="006D7DAD" w:rsidRPr="002E1AB6" w:rsidRDefault="009F0FC7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Stronna www Sejm RP </w:t>
      </w:r>
    </w:p>
    <w:p w14:paraId="67CE290E" w14:textId="77777777" w:rsidR="009B6202" w:rsidRPr="002E1AB6" w:rsidRDefault="00545E2F" w:rsidP="002E1AB6">
      <w:pPr>
        <w:jc w:val="both"/>
        <w:rPr>
          <w:rFonts w:cs="Times New Roman"/>
          <w:szCs w:val="24"/>
        </w:rPr>
      </w:pPr>
      <w:hyperlink r:id="rId9" w:history="1">
        <w:r w:rsidR="009F0FC7" w:rsidRPr="002E1AB6">
          <w:rPr>
            <w:rStyle w:val="Hipercze"/>
            <w:rFonts w:cs="Times New Roman"/>
            <w:color w:val="auto"/>
            <w:szCs w:val="24"/>
          </w:rPr>
          <w:t>http://www.sejm.gov.pl/sejm8.nsf/BASLeksykon.xsp?id=3248D51D40BDF870C1257A64002359D6&amp;litera=S</w:t>
        </w:r>
      </w:hyperlink>
      <w:r w:rsidR="009F0FC7" w:rsidRPr="002E1AB6">
        <w:rPr>
          <w:rFonts w:cs="Times New Roman"/>
          <w:szCs w:val="24"/>
        </w:rPr>
        <w:t xml:space="preserve"> </w:t>
      </w:r>
    </w:p>
    <w:p w14:paraId="6B09E2A3" w14:textId="77777777" w:rsidR="00430108" w:rsidRPr="002E1AB6" w:rsidRDefault="00BF4B34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Strona www Ministerstwo Rozwoju – informacje dotyczące działania Zespołu Europa 2020</w:t>
      </w:r>
    </w:p>
    <w:p w14:paraId="75487E46" w14:textId="09048002" w:rsidR="00BF4B34" w:rsidRPr="002E1AB6" w:rsidRDefault="00545E2F" w:rsidP="002E1AB6">
      <w:pPr>
        <w:jc w:val="both"/>
        <w:rPr>
          <w:rFonts w:cs="Times New Roman"/>
          <w:szCs w:val="24"/>
        </w:rPr>
      </w:pPr>
      <w:hyperlink r:id="rId10" w:history="1">
        <w:r w:rsidR="00BF4B34" w:rsidRPr="002E1AB6">
          <w:rPr>
            <w:rStyle w:val="Hipercze"/>
            <w:rFonts w:cs="Times New Roman"/>
            <w:color w:val="auto"/>
            <w:szCs w:val="24"/>
          </w:rPr>
          <w:t>https://www.gov.pl/web/rozwoj/zespol-do-spraw-strategi-europa-2020</w:t>
        </w:r>
      </w:hyperlink>
      <w:r w:rsidR="00BF4B34" w:rsidRPr="002E1AB6">
        <w:rPr>
          <w:rFonts w:cs="Times New Roman"/>
          <w:szCs w:val="24"/>
        </w:rPr>
        <w:t xml:space="preserve"> </w:t>
      </w:r>
    </w:p>
    <w:p w14:paraId="0CAF94F6" w14:textId="330B4669" w:rsidR="00F01211" w:rsidRPr="002E1AB6" w:rsidRDefault="00F01211" w:rsidP="002E1AB6">
      <w:pPr>
        <w:jc w:val="both"/>
        <w:rPr>
          <w:rFonts w:cs="Times New Roman"/>
          <w:szCs w:val="24"/>
        </w:rPr>
      </w:pPr>
    </w:p>
    <w:p w14:paraId="419A4ADF" w14:textId="77777777" w:rsidR="00F01211" w:rsidRPr="002E1AB6" w:rsidRDefault="00F01211" w:rsidP="002E1AB6">
      <w:pPr>
        <w:jc w:val="both"/>
        <w:rPr>
          <w:rFonts w:cs="Times New Roman"/>
          <w:szCs w:val="24"/>
        </w:rPr>
      </w:pPr>
    </w:p>
    <w:p w14:paraId="5A432D6A" w14:textId="154B8A5A" w:rsidR="00F01211" w:rsidRPr="002E1AB6" w:rsidRDefault="00F01211" w:rsidP="002E1AB6">
      <w:pPr>
        <w:jc w:val="both"/>
        <w:rPr>
          <w:rFonts w:cs="Times New Roman"/>
          <w:b/>
          <w:bCs/>
          <w:szCs w:val="24"/>
          <w:u w:val="single"/>
        </w:rPr>
      </w:pPr>
      <w:r w:rsidRPr="002E1AB6">
        <w:rPr>
          <w:rFonts w:cs="Times New Roman"/>
          <w:b/>
          <w:bCs/>
          <w:szCs w:val="24"/>
          <w:u w:val="single"/>
        </w:rPr>
        <w:t xml:space="preserve">Materiały dodatkowe </w:t>
      </w:r>
    </w:p>
    <w:p w14:paraId="0E076582" w14:textId="77777777" w:rsidR="001C2DEE" w:rsidRPr="002E1AB6" w:rsidRDefault="001C2DEE" w:rsidP="002E1AB6">
      <w:pPr>
        <w:jc w:val="both"/>
        <w:rPr>
          <w:rFonts w:cs="Times New Roman"/>
          <w:b/>
          <w:bCs/>
          <w:szCs w:val="24"/>
          <w:u w:val="single"/>
        </w:rPr>
      </w:pPr>
    </w:p>
    <w:p w14:paraId="6D6CDDE6" w14:textId="2F6EFC55" w:rsidR="00F01211" w:rsidRPr="002E1AB6" w:rsidRDefault="00F01211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Europejski Filar Praw Socjalnych - </w:t>
      </w:r>
      <w:hyperlink r:id="rId11" w:history="1">
        <w:r w:rsidRPr="002E1AB6">
          <w:rPr>
            <w:rStyle w:val="Hipercze"/>
            <w:rFonts w:cs="Times New Roman"/>
            <w:color w:val="auto"/>
            <w:szCs w:val="24"/>
          </w:rPr>
          <w:t>https://ec.europa.eu/commission/priorities/deeper-and-fairer-economic-and-monetary-union/euro</w:t>
        </w:r>
        <w:bookmarkStart w:id="0" w:name="_GoBack"/>
        <w:bookmarkEnd w:id="0"/>
        <w:r w:rsidRPr="002E1AB6">
          <w:rPr>
            <w:rStyle w:val="Hipercze"/>
            <w:rFonts w:cs="Times New Roman"/>
            <w:color w:val="auto"/>
            <w:szCs w:val="24"/>
          </w:rPr>
          <w:t>pean-pillar-social-rights/european-pillar-social-rights-20-principles_pl</w:t>
        </w:r>
      </w:hyperlink>
      <w:r w:rsidRPr="002E1AB6">
        <w:rPr>
          <w:rFonts w:cs="Times New Roman"/>
          <w:szCs w:val="24"/>
        </w:rPr>
        <w:t xml:space="preserve"> </w:t>
      </w:r>
    </w:p>
    <w:p w14:paraId="4FD31FCC" w14:textId="2105851F" w:rsidR="001C2DEE" w:rsidRPr="002E1AB6" w:rsidRDefault="001C2DEE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Cele zrównoważonego rozwoju</w:t>
      </w:r>
      <w:r w:rsidR="002E1AB6" w:rsidRPr="002E1AB6">
        <w:rPr>
          <w:rFonts w:cs="Times New Roman"/>
          <w:szCs w:val="24"/>
        </w:rPr>
        <w:t xml:space="preserve"> Organizacja Narodów Zjednoczonych </w:t>
      </w:r>
      <w:r w:rsidRPr="002E1AB6">
        <w:rPr>
          <w:rFonts w:cs="Times New Roman"/>
          <w:szCs w:val="24"/>
        </w:rPr>
        <w:t xml:space="preserve"> - </w:t>
      </w:r>
      <w:hyperlink r:id="rId12" w:history="1">
        <w:r w:rsidRPr="002E1AB6">
          <w:rPr>
            <w:rStyle w:val="Hipercze"/>
            <w:rFonts w:cs="Times New Roman"/>
            <w:color w:val="auto"/>
            <w:szCs w:val="24"/>
          </w:rPr>
          <w:t>http://www.un.org.pl/</w:t>
        </w:r>
      </w:hyperlink>
      <w:r w:rsidRPr="002E1AB6">
        <w:rPr>
          <w:rFonts w:cs="Times New Roman"/>
          <w:szCs w:val="24"/>
        </w:rPr>
        <w:t xml:space="preserve"> </w:t>
      </w:r>
    </w:p>
    <w:p w14:paraId="193CFDE8" w14:textId="4CCDD24A" w:rsidR="001C2DEE" w:rsidRPr="002E1AB6" w:rsidRDefault="001C2DEE" w:rsidP="002E1AB6">
      <w:pPr>
        <w:jc w:val="both"/>
        <w:rPr>
          <w:rFonts w:cs="Times New Roman"/>
          <w:szCs w:val="24"/>
        </w:rPr>
      </w:pPr>
    </w:p>
    <w:p w14:paraId="0F094537" w14:textId="31C5E982" w:rsidR="001C2DEE" w:rsidRPr="002E1AB6" w:rsidRDefault="001C2DEE" w:rsidP="002E1AB6">
      <w:pPr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 xml:space="preserve">Europejski Filar Praw Socjalnych </w:t>
      </w:r>
    </w:p>
    <w:p w14:paraId="0FC37975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 xml:space="preserve">Europejski filar praw socjalnych przewiduje zarówno </w:t>
      </w:r>
      <w:r w:rsidRPr="002E1AB6">
        <w:rPr>
          <w:rStyle w:val="Pogrubienie"/>
        </w:rPr>
        <w:t>nowe prawa dla obywateli, jak i zmierza do ułatwienia im skuteczniejszego egzekwowania praw, które już im przysługują</w:t>
      </w:r>
      <w:r w:rsidRPr="002E1AB6">
        <w:t>. Europejski filar praw socjalnych opiera się na 20 podstawowych zasadach uporządkowanych według trzech następujących kategorii:</w:t>
      </w:r>
    </w:p>
    <w:p w14:paraId="59173579" w14:textId="77777777" w:rsidR="00F01211" w:rsidRPr="002E1AB6" w:rsidRDefault="00F01211" w:rsidP="002E1AB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równe szanse i dostęp do zatrudnienia</w:t>
      </w:r>
    </w:p>
    <w:p w14:paraId="6A6B5718" w14:textId="77777777" w:rsidR="00F01211" w:rsidRPr="002E1AB6" w:rsidRDefault="00F01211" w:rsidP="002E1AB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uczciwe warunki pracy</w:t>
      </w:r>
    </w:p>
    <w:p w14:paraId="32F92264" w14:textId="77777777" w:rsidR="00F01211" w:rsidRPr="002E1AB6" w:rsidRDefault="00F01211" w:rsidP="002E1AB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cs="Times New Roman"/>
          <w:szCs w:val="24"/>
        </w:rPr>
      </w:pPr>
      <w:r w:rsidRPr="002E1AB6">
        <w:rPr>
          <w:rFonts w:cs="Times New Roman"/>
          <w:szCs w:val="24"/>
        </w:rPr>
        <w:t>ochrona socjalna i integracja społeczna.</w:t>
      </w:r>
    </w:p>
    <w:p w14:paraId="1AA914A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 </w:t>
      </w:r>
    </w:p>
    <w:p w14:paraId="638AC2C1" w14:textId="77777777" w:rsidR="00F01211" w:rsidRPr="002E1AB6" w:rsidRDefault="00F01211" w:rsidP="002E1AB6">
      <w:pPr>
        <w:pStyle w:val="Nagwek2"/>
        <w:spacing w:line="276" w:lineRule="auto"/>
        <w:jc w:val="both"/>
        <w:rPr>
          <w:sz w:val="24"/>
          <w:szCs w:val="24"/>
        </w:rPr>
      </w:pPr>
      <w:r w:rsidRPr="002E1AB6">
        <w:rPr>
          <w:sz w:val="24"/>
          <w:szCs w:val="24"/>
        </w:rPr>
        <w:t>Kategoria I: równe szanse i dostęp do zatrudnienia</w:t>
      </w:r>
    </w:p>
    <w:p w14:paraId="5D5E4FC3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1. Kształcenie, szkolenie i uczenie się przez całe życie </w:t>
      </w:r>
    </w:p>
    <w:p w14:paraId="0626CA07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 ma prawo do edukacji włączającej, charakteryzującej się dobrą jakością, szkoleń i uczenia się przez całe życie w celu utrzymania i nabywania umiejętności, które pozwolą mu w pełni uczestniczyć w życiu społeczeństwa i skutecznie radzić sobie ze zmianami na rynku pracy.</w:t>
      </w:r>
    </w:p>
    <w:p w14:paraId="19212E62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lastRenderedPageBreak/>
        <w:t xml:space="preserve">2. Równouprawnienie płci </w:t>
      </w:r>
    </w:p>
    <w:p w14:paraId="28FD3627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Należy zapewnić i wspierać równość traktowania i szans kobiet i mężczyzn we wszystkich dziedzinach, w tym w odniesieniu do udziału w rynku pracy, warunków zatrudnienia i możliwości rozwoju kariery.</w:t>
      </w:r>
    </w:p>
    <w:p w14:paraId="151333C3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Kobiety i mężczyźni mają prawo do równego wynagrodzenia za pracę o równej wartości.</w:t>
      </w:r>
    </w:p>
    <w:p w14:paraId="1CB57F28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3. Równe szanse</w:t>
      </w:r>
    </w:p>
    <w:p w14:paraId="79DBE7A9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Bez względu na płeć, rasę lub pochodzenie etniczne, religię lub światopogląd, niepełnosprawność, wiek lub orientację seksualną, każdy ma prawo do równego traktowania i równych szans w dziedzinie zatrudnienia, ochrony socjalnej, edukacji, a także dostępu do dóbr i usług dostępnych dla społeczeństwa. Należy wspierać równe szanse grup niedostatecznie reprezentowanych.</w:t>
      </w:r>
    </w:p>
    <w:p w14:paraId="04533F33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4.</w:t>
      </w:r>
      <w:r w:rsidRPr="002E1AB6">
        <w:rPr>
          <w:rFonts w:ascii="Times New Roman" w:hAnsi="Times New Roman" w:cs="Times New Roman"/>
          <w:color w:val="auto"/>
          <w:szCs w:val="24"/>
        </w:rPr>
        <w:t xml:space="preserve"> </w:t>
      </w: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Aktywne wsparcie na rzecz zatrudnienia </w:t>
      </w:r>
    </w:p>
    <w:p w14:paraId="08AC444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 ma prawo do terminowego i dostosowanego do potrzeb wsparcia na rzecz poprawy perspektyw zatrudnienia lub prowadzenia działalności na własny rachunek. Obejmuje to prawo do otrzymania wsparcia w poszukiwaniu pracy, szkoleniu się i zmianie kwalifikacji zawodowych. Każdy ma prawo do przeniesienia uprawnień do ochrony socjalnej i do szkolenia w trakcie przekwalifikowania zawodowego.</w:t>
      </w:r>
    </w:p>
    <w:p w14:paraId="53C4D6FF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Młodzi ludzie mają prawo do dalszego kształcenia, przyuczenia do zawodu, stażu lub dobrej oferty zatrudnienia w ciągu 4 miesięcy od uzyskania statusu bezrobotnego lub ukończenia edukacji.</w:t>
      </w:r>
    </w:p>
    <w:p w14:paraId="4178E81A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Osoby bezrobotne mają prawo do ciągłego i konsekwentnego wsparcia dostosowanego do ich indywidualnych potrzeb. Osoby długotrwale bezrobotne mają prawo do dogłębnej indywidualnej oceny najpóźniej do 18. miesiąca bezrobocia.</w:t>
      </w:r>
    </w:p>
    <w:p w14:paraId="566D03C3" w14:textId="77777777" w:rsidR="00F01211" w:rsidRPr="002E1AB6" w:rsidRDefault="00F01211" w:rsidP="002E1AB6">
      <w:pPr>
        <w:pStyle w:val="Nagwek2"/>
        <w:spacing w:line="276" w:lineRule="auto"/>
        <w:jc w:val="both"/>
        <w:rPr>
          <w:sz w:val="24"/>
          <w:szCs w:val="24"/>
        </w:rPr>
      </w:pPr>
      <w:r w:rsidRPr="002E1AB6">
        <w:rPr>
          <w:sz w:val="24"/>
          <w:szCs w:val="24"/>
        </w:rPr>
        <w:t>Kategoria II: uczciwe warunki pracy</w:t>
      </w:r>
    </w:p>
    <w:p w14:paraId="2F363345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5. Bezpieczne i elastyczne zatrudnienie </w:t>
      </w:r>
    </w:p>
    <w:p w14:paraId="4D59B954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Niezależnie od rodzaju i czasu trwania stosunku pracy, pracownicy mają prawo do sprawiedliwego i równego traktowania w odniesieniu do warunków pracy, dostępu do ochrony socjalnej i szkoleń. Należy wspierać przechodzenie w kierunku otwartych form zatrudnienia.</w:t>
      </w:r>
    </w:p>
    <w:p w14:paraId="0627AE80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Zgodnie z prawodawstwem i układami zbiorowymi należy zapewnić pracodawcom niezbędną elastyczność, tak by mogli sprawnie dostosowywać się do zmian zachodzących w kontekście gospodarczym.</w:t>
      </w:r>
    </w:p>
    <w:p w14:paraId="3B5E15F4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lastRenderedPageBreak/>
        <w:t>Należy wspierać innowacyjne formy zatrudnienia, które gwarantują wysoką jakość warunków pracy. Należy zachęcać do przedsiębiorczości i samozatrudnienia. Należy ułatwić mobilność zawodową.</w:t>
      </w:r>
    </w:p>
    <w:p w14:paraId="237D06F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Należy zapobiegać powstawaniu stosunków pracy prowadzących do niepewnych warunków pracy, w tym poprzez wprowadzenie zakazu nadużywania nietypowych umów o pracę. Każdy okres próbny powinien mieć rozsądny czas trwania.</w:t>
      </w:r>
    </w:p>
    <w:p w14:paraId="0E81C71E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6. Wynagrodzenie </w:t>
      </w:r>
    </w:p>
    <w:p w14:paraId="23C08E03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mają prawo do sprawiedliwego wynagrodzenia, które zapewnia przyzwoity poziom życia.</w:t>
      </w:r>
    </w:p>
    <w:p w14:paraId="2D14C0D7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 xml:space="preserve">Należy zadbać o odpowiednie płace minimalne, tak by zapewnić zaspokojenie potrzeb pracownika i jego rodziny w świetle krajowych warunków ekonomicznych i społecznych, przy jednoczesnym zapewnieniu dostępu do zatrudnienia i motywacji do poszukiwania pracy. Należy zapobiegać ubóstwu pracujących. </w:t>
      </w:r>
    </w:p>
    <w:p w14:paraId="1036B0FB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Wszystkie wynagrodzenia są ustalane w sposób przejrzysty i przewidywalny, zgodnie z praktyką krajową i z poszanowaniem autonomii partnerów społecznych.</w:t>
      </w:r>
    </w:p>
    <w:p w14:paraId="1D303B7E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7. Informacje o warunkach zatrudnienia i ochrona w przypadku zwolnień</w:t>
      </w:r>
    </w:p>
    <w:p w14:paraId="5E670DFD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mają prawo otrzymać w momencie nawiązania stosunku pracy pisemną informację o ich prawach i obowiązkach wynikających ze stosunku pracy, w tym w trakcie okresu próbnego. </w:t>
      </w:r>
    </w:p>
    <w:p w14:paraId="32908C1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W przypadku zwolnienia z pracy pracownicy mają prawo do uzyskania wcześniej informacji o przyczynach takiego zwolnienia, przysługuje im również rozsądny okres wypowiedzenia. Mają oni prawo do skutecznego i bezstronnego rozstrzygania sporów, a w przypadku nieuzasadnionego zwolnienia z pracy, prawo do dochodzenia roszczeń, w tym do odpowiedniej rekompensaty.</w:t>
      </w:r>
    </w:p>
    <w:p w14:paraId="6E5BE8E8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8. Dialog społeczny i społeczne zaangażowanie pracowników </w:t>
      </w:r>
    </w:p>
    <w:p w14:paraId="57030B35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Należy prowadzić konsultacje z partnerami społecznymi w sprawie opracowywania i wdrażania polityki gospodarczej i społecznej oraz polityki zatrudnienia zgodnie z praktykami krajowymi. Należy ich zachęcać do negocjowania i zawierania układów zbiorowych w sprawach, które ich dotyczą, z poszanowaniem ich autonomii i prawa do podejmowania działań zbiorowych. W stosownych przypadkach porozumienia zawarte między partnerami społecznymi są wdrażane na szczeblu Unii i jej państw członkowskich.</w:t>
      </w:r>
    </w:p>
    <w:p w14:paraId="2AD1E512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lub ich przedstawiciele mają prawo do uzyskiwania informacji i wyrażania swojej opinii w odpowiednim czasie w dotyczących ich kwestiach, w szczególności w odniesieniu do transferów, restrukturyzacji oraz łączenia przedsiębiorstw, a także zwolnień grupowych.</w:t>
      </w:r>
    </w:p>
    <w:p w14:paraId="514D9DD5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lastRenderedPageBreak/>
        <w:t>Zachęca się do wspierania zwiększonej zdolności partnerów społecznych do propagowania dialogu społecznego.</w:t>
      </w:r>
    </w:p>
    <w:p w14:paraId="29ACDA5C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9. Równowaga między życiem zawodowym a prywatnym</w:t>
      </w:r>
    </w:p>
    <w:p w14:paraId="6741B710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Rodzice oraz osoby pełniące obowiązki opiekunów mają prawo do odpowiednich urlopów, elastycznej organizacji pracy oraz dostępu do usług w zakresie opieki. Kobiety i mężczyźni mają równy dostęp do specjalnych urlopów służących wypełnianiu obowiązków w zakresie opieki oraz należy zachęcać ich do korzystania z takich urlopów w racjonalny sposób.</w:t>
      </w:r>
    </w:p>
    <w:p w14:paraId="5F18D121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10. Zdrowe, bezpieczne i dobrze dostosowane środowisko pracy oraz ochrona danych</w:t>
      </w:r>
    </w:p>
    <w:p w14:paraId="561BC38B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mają prawo do wysokiego poziomu ochrony zdrowia i bezpieczeństwa w miejscu pracy.</w:t>
      </w:r>
    </w:p>
    <w:p w14:paraId="02297C33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mają prawo do środowiska pracy dostosowanego do ich potrzeb zawodowych i które pozwala im przedłużyć okres ich uczestnictwa w rynku pracy.</w:t>
      </w:r>
    </w:p>
    <w:p w14:paraId="0C8E55B2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mają prawo do ochrony swoich danych osobowych w kontekście zatrudnienia.</w:t>
      </w:r>
    </w:p>
    <w:p w14:paraId="4B7A44BD" w14:textId="77777777" w:rsidR="00F01211" w:rsidRPr="002E1AB6" w:rsidRDefault="00F01211" w:rsidP="002E1AB6">
      <w:pPr>
        <w:pStyle w:val="Nagwek2"/>
        <w:spacing w:line="276" w:lineRule="auto"/>
        <w:jc w:val="both"/>
        <w:rPr>
          <w:sz w:val="24"/>
          <w:szCs w:val="24"/>
        </w:rPr>
      </w:pPr>
      <w:r w:rsidRPr="002E1AB6">
        <w:rPr>
          <w:sz w:val="24"/>
          <w:szCs w:val="24"/>
        </w:rPr>
        <w:t>Kategoria III: ochrona socjalna i integracja społeczna</w:t>
      </w:r>
    </w:p>
    <w:p w14:paraId="2CABE48A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11. Opieka nad dziećmi i wsparcie dla dzieci </w:t>
      </w:r>
    </w:p>
    <w:p w14:paraId="596B3D2D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Dzieci mają prawo dostępu do wysokiej jakości i przystępnych cenowo usług wczesnej edukacji i opieki nad dziećmi.</w:t>
      </w:r>
    </w:p>
    <w:p w14:paraId="0216C649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Dzieci mają prawo do ochrony przed ubóstwem. Dzieci ze środowisk znajdujących się w niekorzystnej sytuacji mają prawo do szczególnych środków służących zwiększeniu równości szans.</w:t>
      </w:r>
    </w:p>
    <w:p w14:paraId="3EC19751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12. Ochrona socjalna</w:t>
      </w:r>
    </w:p>
    <w:p w14:paraId="23D6CC21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Bez względu na rodzaj i czas trwania ich stosunku pracy, pracownicy i, w porównywalnych warunkach, osoby samozatrudnione mają prawo do odpowiedniej ochrony socjalnej.</w:t>
      </w:r>
    </w:p>
    <w:p w14:paraId="0261E655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13. Świadczenia dla bezrobotnych </w:t>
      </w:r>
    </w:p>
    <w:p w14:paraId="00CE0447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Osoby bezrobotne mają prawo do odpowiedniego wsparcia w zakresie aktywizacji ze strony publicznych służb zatrudnienia służącego (re-) integracji na rynku pracy i do właściwych świadczeń dla bezrobotnych otrzymywanych przez rozsądny czas, odpowiednio do płaconych przez nich składek i zgodnie z krajowymi zasadami kwalifikowalności. Tego rodzaju świadczenia nie powinny stanowić czynnika zniechęcającego do szybkiego powrotu do zatrudnienia.</w:t>
      </w:r>
    </w:p>
    <w:p w14:paraId="7A86D083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lastRenderedPageBreak/>
        <w:t>14. Minimalny dochód</w:t>
      </w:r>
    </w:p>
    <w:p w14:paraId="20FA35AF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Każdy, kto nie dysponuje wystarczającymi środkami, ma prawo do odpowiedniego dochodu minimalnego zapewniającego godne życie na wszystkich jego etapach oraz skuteczny dostęp do towarów i usług wspierających. W przypadku osób zdolnych do pracy świadczenia związane z dochodem minimalnym powinny być powiązane z zachętami do (ponownego) włączenia się do rynku pracy.</w:t>
      </w:r>
    </w:p>
    <w:p w14:paraId="39EA4A39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15. Świadczenia emerytalne i renty</w:t>
      </w:r>
    </w:p>
    <w:p w14:paraId="6C2E49C4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Pracownicy i osoby pracujące na własny rachunek przechodzące na emeryturę mają prawo do emerytury proporcjonalnej do ich składek oraz zapewniającej odpowiedni dochód. Kobiety i mężczyźni mają równe szanse w odniesieniu do nabywania praw emerytalnych.</w:t>
      </w:r>
    </w:p>
    <w:p w14:paraId="46D0D4F8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Każda osoba w podeszłym wieku ma prawo do posiadania środków umożliwiających godne życie.</w:t>
      </w:r>
    </w:p>
    <w:p w14:paraId="5487162B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16. Służba zdrowia </w:t>
      </w:r>
    </w:p>
    <w:p w14:paraId="5D6A54E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 ma prawo do szybkiego dostępu do przystępnej cenowo, profilaktycznej i objawowej opieki zdrowotnej dobrej jakości.</w:t>
      </w:r>
    </w:p>
    <w:p w14:paraId="5348D1C0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17. Integracja osób niepełnosprawnych </w:t>
      </w:r>
    </w:p>
    <w:p w14:paraId="2BA3A1C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Osoby niepełnosprawne mają prawo do otrzymania wsparcia dochodu, które zapewnia godne życie, usług, które pozwolą im na uczestnictwo w rynku pracy i w życiu społecznym, a także do środowiska pracy dostosowanego do ich potrzeb.</w:t>
      </w:r>
    </w:p>
    <w:p w14:paraId="3F82C9EE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 xml:space="preserve">18. Opieka długoterminowa </w:t>
      </w:r>
    </w:p>
    <w:p w14:paraId="1789797E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 ma prawo do przystępnych cenowo i dobrej jakości usług opieki długoterminowej, w szczególności opieki w domu i usług środowiskowych.</w:t>
      </w:r>
    </w:p>
    <w:p w14:paraId="10069BEF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t>19. Mieszkalnictwo i pomoc dla bezdomnych</w:t>
      </w:r>
    </w:p>
    <w:p w14:paraId="6898EC66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Należy zapewnić osobom potrzebującym dostęp do mieszkań socjalnych lub pomocy mieszkaniowej dobrej jakości.</w:t>
      </w:r>
    </w:p>
    <w:p w14:paraId="4DB1F752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Osoby znajdujące się w trudnej sytuacji mają prawo do odpowiedniej pomocy i ochrony przed przymusową eksmisją.</w:t>
      </w:r>
    </w:p>
    <w:p w14:paraId="3F69DEB4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Osoby bezdomne otrzymują odpowiednie schronienie oraz świadczone są na ich rzecz usługi służące promowaniu ich integracji społecznej.</w:t>
      </w:r>
    </w:p>
    <w:p w14:paraId="5B917808" w14:textId="77777777" w:rsidR="00F01211" w:rsidRPr="002E1AB6" w:rsidRDefault="00F01211" w:rsidP="002E1AB6">
      <w:pPr>
        <w:pStyle w:val="Nagwek3"/>
        <w:jc w:val="both"/>
        <w:rPr>
          <w:rFonts w:ascii="Times New Roman" w:hAnsi="Times New Roman" w:cs="Times New Roman"/>
          <w:color w:val="auto"/>
          <w:szCs w:val="24"/>
        </w:rPr>
      </w:pPr>
      <w:r w:rsidRPr="002E1AB6">
        <w:rPr>
          <w:rStyle w:val="Pogrubienie"/>
          <w:rFonts w:ascii="Times New Roman" w:hAnsi="Times New Roman" w:cs="Times New Roman"/>
          <w:b/>
          <w:bCs/>
          <w:color w:val="auto"/>
          <w:szCs w:val="24"/>
        </w:rPr>
        <w:lastRenderedPageBreak/>
        <w:t>20. Dostęp do niezbędnych usług</w:t>
      </w:r>
    </w:p>
    <w:p w14:paraId="76B6A02C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Każdy ma prawo dostępu do podstawowych usług dobrej jakości, w tym wody, urządzeń sanitarnych, energii, transportu, usług finansowych i usług łączności cyfrowej. Osoby potrzebujące otrzymają wsparcie w zakresie dostępu do tych usług.</w:t>
      </w:r>
    </w:p>
    <w:p w14:paraId="572BACF2" w14:textId="77777777" w:rsidR="00F01211" w:rsidRPr="002E1AB6" w:rsidRDefault="00F01211" w:rsidP="002E1AB6">
      <w:pPr>
        <w:pStyle w:val="NormalnyWeb"/>
        <w:spacing w:line="276" w:lineRule="auto"/>
        <w:jc w:val="both"/>
      </w:pPr>
      <w:r w:rsidRPr="002E1AB6">
        <w:t> </w:t>
      </w:r>
    </w:p>
    <w:p w14:paraId="48E4236E" w14:textId="77777777" w:rsidR="00F01211" w:rsidRPr="002E1AB6" w:rsidRDefault="00F01211" w:rsidP="002E1AB6">
      <w:pPr>
        <w:jc w:val="both"/>
        <w:rPr>
          <w:rFonts w:cs="Times New Roman"/>
          <w:szCs w:val="24"/>
        </w:rPr>
      </w:pPr>
    </w:p>
    <w:sectPr w:rsidR="00F01211" w:rsidRPr="002E1AB6" w:rsidSect="0060220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B207" w14:textId="77777777" w:rsidR="00545E2F" w:rsidRDefault="00545E2F" w:rsidP="002A45F6">
      <w:pPr>
        <w:spacing w:after="0" w:line="240" w:lineRule="auto"/>
      </w:pPr>
      <w:r>
        <w:separator/>
      </w:r>
    </w:p>
  </w:endnote>
  <w:endnote w:type="continuationSeparator" w:id="0">
    <w:p w14:paraId="0C741292" w14:textId="77777777" w:rsidR="00545E2F" w:rsidRDefault="00545E2F" w:rsidP="002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7291"/>
      <w:docPartObj>
        <w:docPartGallery w:val="Page Numbers (Bottom of Page)"/>
        <w:docPartUnique/>
      </w:docPartObj>
    </w:sdtPr>
    <w:sdtEndPr/>
    <w:sdtContent>
      <w:p w14:paraId="3DFBD93B" w14:textId="77777777" w:rsidR="002A45F6" w:rsidRDefault="008E0E8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A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C9896C" w14:textId="77777777" w:rsidR="002A45F6" w:rsidRDefault="002A4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1E69" w14:textId="77777777" w:rsidR="00545E2F" w:rsidRDefault="00545E2F" w:rsidP="002A45F6">
      <w:pPr>
        <w:spacing w:after="0" w:line="240" w:lineRule="auto"/>
      </w:pPr>
      <w:r>
        <w:separator/>
      </w:r>
    </w:p>
  </w:footnote>
  <w:footnote w:type="continuationSeparator" w:id="0">
    <w:p w14:paraId="6195A367" w14:textId="77777777" w:rsidR="00545E2F" w:rsidRDefault="00545E2F" w:rsidP="002A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0472"/>
    <w:multiLevelType w:val="multilevel"/>
    <w:tmpl w:val="5E48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E652D"/>
    <w:multiLevelType w:val="hybridMultilevel"/>
    <w:tmpl w:val="D3BA8C9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C061A5"/>
    <w:multiLevelType w:val="multilevel"/>
    <w:tmpl w:val="8B2C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973B2"/>
    <w:multiLevelType w:val="multilevel"/>
    <w:tmpl w:val="848A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C204E"/>
    <w:multiLevelType w:val="multilevel"/>
    <w:tmpl w:val="189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54AEF"/>
    <w:multiLevelType w:val="multilevel"/>
    <w:tmpl w:val="DBF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6F913"/>
    <w:multiLevelType w:val="hybridMultilevel"/>
    <w:tmpl w:val="CFD35A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BD56BD"/>
    <w:multiLevelType w:val="multilevel"/>
    <w:tmpl w:val="A5B0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77EB0"/>
    <w:multiLevelType w:val="multilevel"/>
    <w:tmpl w:val="0FB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B5753"/>
    <w:multiLevelType w:val="multilevel"/>
    <w:tmpl w:val="D73A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9A01CE"/>
    <w:multiLevelType w:val="hybridMultilevel"/>
    <w:tmpl w:val="67B4D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02"/>
    <w:rsid w:val="00085A5A"/>
    <w:rsid w:val="000A4114"/>
    <w:rsid w:val="001C2DEE"/>
    <w:rsid w:val="002A45F6"/>
    <w:rsid w:val="002E1AB6"/>
    <w:rsid w:val="00334F3D"/>
    <w:rsid w:val="003D4C9F"/>
    <w:rsid w:val="00430108"/>
    <w:rsid w:val="004A226F"/>
    <w:rsid w:val="00545E2F"/>
    <w:rsid w:val="0060220E"/>
    <w:rsid w:val="006D7DAD"/>
    <w:rsid w:val="00710072"/>
    <w:rsid w:val="0085089A"/>
    <w:rsid w:val="008E0E87"/>
    <w:rsid w:val="00906AEE"/>
    <w:rsid w:val="009B59FD"/>
    <w:rsid w:val="009B6202"/>
    <w:rsid w:val="009F0FC7"/>
    <w:rsid w:val="00BF4B34"/>
    <w:rsid w:val="00CA7A2E"/>
    <w:rsid w:val="00EA22D5"/>
    <w:rsid w:val="00F0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E5A4"/>
  <w15:docId w15:val="{9D2CA865-785B-4580-A85D-8BC8F76E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20E"/>
  </w:style>
  <w:style w:type="paragraph" w:styleId="Nagwek2">
    <w:name w:val="heading 2"/>
    <w:basedOn w:val="Normalny"/>
    <w:link w:val="Nagwek2Znak"/>
    <w:uiPriority w:val="9"/>
    <w:qFormat/>
    <w:rsid w:val="009B620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D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9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620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62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B6202"/>
    <w:rPr>
      <w:rFonts w:eastAsia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62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7DA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9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A226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A4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5F6"/>
  </w:style>
  <w:style w:type="paragraph" w:styleId="Stopka">
    <w:name w:val="footer"/>
    <w:basedOn w:val="Normalny"/>
    <w:link w:val="StopkaZnak"/>
    <w:uiPriority w:val="99"/>
    <w:unhideWhenUsed/>
    <w:rsid w:val="002A4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F6"/>
  </w:style>
  <w:style w:type="character" w:styleId="Odwoaniedokomentarza">
    <w:name w:val="annotation reference"/>
    <w:basedOn w:val="Domylnaczcionkaakapitu"/>
    <w:uiPriority w:val="99"/>
    <w:semiHidden/>
    <w:unhideWhenUsed/>
    <w:rsid w:val="00EA2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2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2D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semestr-europejsk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ilium.europa.eu/pl/policies/european-semester/" TargetMode="External"/><Relationship Id="rId12" Type="http://schemas.openxmlformats.org/officeDocument/2006/relationships/hyperlink" Target="http://www.un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commission/priorities/deeper-and-fairer-economic-and-monetary-union/european-pillar-social-rights/european-pillar-social-rights-20-principles_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rozwoj/zespol-do-spraw-strategi-europa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jm.gov.pl/sejm8.nsf/BASLeksykon.xsp?id=3248D51D40BDF870C1257A64002359D6&amp;litera=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3415</Words>
  <Characters>20496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3</cp:revision>
  <dcterms:created xsi:type="dcterms:W3CDTF">2020-01-03T08:23:00Z</dcterms:created>
  <dcterms:modified xsi:type="dcterms:W3CDTF">2020-01-03T08:24:00Z</dcterms:modified>
</cp:coreProperties>
</file>