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D4" w:rsidRDefault="009C02D4" w:rsidP="009C02D4">
      <w:pPr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:rsidR="00737299" w:rsidRPr="00737299" w:rsidRDefault="00737299" w:rsidP="00737299">
      <w:pPr>
        <w:jc w:val="center"/>
        <w:rPr>
          <w:rFonts w:ascii="Times New Roman" w:hAnsi="Times New Roman"/>
          <w:b/>
          <w:sz w:val="32"/>
          <w:szCs w:val="32"/>
        </w:rPr>
      </w:pPr>
      <w:r w:rsidRPr="00737299">
        <w:rPr>
          <w:rFonts w:ascii="Times New Roman" w:hAnsi="Times New Roman"/>
          <w:b/>
          <w:sz w:val="32"/>
          <w:szCs w:val="32"/>
        </w:rPr>
        <w:t>Czy w Polsce bezrobocie jest problemem?</w:t>
      </w:r>
    </w:p>
    <w:p w:rsidR="00737299" w:rsidRPr="00737299" w:rsidRDefault="00737299" w:rsidP="00737299">
      <w:pPr>
        <w:jc w:val="both"/>
        <w:rPr>
          <w:rFonts w:ascii="Times New Roman" w:hAnsi="Times New Roman"/>
          <w:sz w:val="24"/>
          <w:szCs w:val="24"/>
        </w:rPr>
      </w:pP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37299">
        <w:rPr>
          <w:rFonts w:ascii="Times New Roman" w:hAnsi="Times New Roman"/>
          <w:sz w:val="24"/>
          <w:szCs w:val="24"/>
        </w:rPr>
        <w:t xml:space="preserve">Na rynku pracy z reguły występuje zjawisko bezrobocia, czyli nierównowagi będącej wynikiem nadwyżki podaży pracy (osób chętnych do pracy) nad popytem na pracę (zapotrzebowaniem na pracowników zgłaszanym przez pracodawców). W gospodarce rynkowej walka z bezrobociem nie wymaga zapewnienia wszystkim ludziom pracy. Pewne formy bezrobocia są nieuniknione i niemożliwe do wyeliminowania. Generalnie przyjmuje się, że akceptowalny poziom bezrobocia kształtuje się na poziomie ok. 5-7%. </w:t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ab/>
        <w:t xml:space="preserve">W całej Unii Europejskiej (28 krajów) stopa bezrobocia wyniosła na koniec 2013 roku ponad 12%. Przy czym poszczególne kraje Wspólnoty charakteryzował inny jej poziom. Kraje mające problem ze wzrostem gospodarczym (tj. Hiszpania, czy Grecja) odnotowały wysoki poziom bezrobocia (prawie 30%). Państwa radzące sobie z obecnym kryzysem nie mały problemu z bezrobociem, a jego poziom wynosił ok. 5% (np. w Niemczech, Austrii). </w:t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7299">
        <w:rPr>
          <w:rFonts w:ascii="Times New Roman" w:hAnsi="Times New Roman"/>
          <w:b/>
          <w:sz w:val="24"/>
          <w:szCs w:val="24"/>
        </w:rPr>
        <w:t>Stopy bezrobocia w krajach UE-28 w roku 2013 (%)</w:t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2E2F82B" wp14:editId="185765C9">
            <wp:extent cx="5760720" cy="3273800"/>
            <wp:effectExtent l="0" t="0" r="0" b="3175"/>
            <wp:docPr id="3" name="Wykres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>Źródło: Eurostat.</w:t>
      </w:r>
    </w:p>
    <w:p w:rsidR="00737299" w:rsidRPr="00737299" w:rsidRDefault="00737299" w:rsidP="007372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7299" w:rsidRPr="00737299" w:rsidRDefault="00737299" w:rsidP="007372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lastRenderedPageBreak/>
        <w:t>W Polsce w latach 2010-2012 stopa bezrobocia wzrastała, by ustabilizować się w 2013 roku (w 2010 roku wynosiła 12,3% ludności aktywnej zawodowo, w 2011 roku - 12,5%, by w roku 2012 i 2013 osiągnąć poziom 13,4%). Oznacza to, że w urzędach pracy w 2013 roku zarejestrowanych było 2.157 tys. osób poszukujących pracy.</w:t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ab/>
        <w:t>Z punktu widzenia społecznego, brak pracy, prowadzi to do gwałtownego narastania ubóstwa i związanych z tym negatywnych skutków (m.in. wzrostu przestępczości, pogorszenia stanu zdrowia oraz zdecydowanego pogorszenia perspektyw dzieci osób bezrobotnych z powodu braku środków, które mogą one przeznaczyć na ich edukację). Powoduje ono również –jak stwierdził  Papież Jan Paweł II– „pogwałcenie” godności człowieka i – w zasadzie – ograniczenie jego wolności.</w:t>
      </w:r>
    </w:p>
    <w:p w:rsidR="00737299" w:rsidRPr="00737299" w:rsidRDefault="00737299" w:rsidP="007372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>Ekonomiczne konsekwencje natomiast związane są m.in. z mniejszą dynamiką wzrostu gospodarczego oraz kosztami finansowymi ponoszonymi przez państwo (co ma szczególne znaczenie w związku z problemami finansów publicznych w Polsce). Po pierwsze, wynikają one ze zwiększenia wydatków z budżetu państwa na zasiłki dla bezrobotnych i inne świadczenia socjalne oraz na programy przeciwdziałania bezrobociu. Po drugie, państwo traci na skutek zmniejszenia wpływów do budżetu.</w:t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ab/>
        <w:t xml:space="preserve">Powstaje więc pytanie: ile miejsc pracy powinna stworzyć gospodarka w Polsce, by zmniejszyć bezrobocie do poziomu uznawanego za prawidłowy? Odpowiedź na takie pytanie wbrew pozorom nie jest prosta z uwagi na dynamiczny charakter zmian gospodarczych i nieujmowania przez wskaźnik bezrobocia wszystkich osób, które chciałyby pracować, a nie mają pracy. </w:t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ab/>
        <w:t xml:space="preserve">W Polsce nieunikniony jest dalszy proces zmiany struktury zatrudnienia w kierunku podobnym do struktury, jaka jest w krajach Unii Europejskiej. Wynika to głównie z tego, że pewne trendy zmian na rynku obserwowane obecnie w świecie są przejawem obiektywnych procesów, które wynikają z wymogów funkcjonowania nowoczesnej gospodarki. Dominującą rolę, w krajach rozwiniętych odgrywają usługi oraz przemysł wysokiej techniki. Przewidywać można, że podobne zmiany będą zachodziły również w Polsce. Analiza struktury zatrudnienia w rozwiniętych krajach Wspólnoty oraz Polsce pokazuje, że istnieje w tym zakresie rozbieżność. W celu niwelacji dysproporcji musi zmniejszyć się w kraju poziom zatrudnienia w tzw. sektorze pierwotnym (szczególnie  w rolnictwie, gdzie występuje duże bezrobocie ukryte) oraz w tradycyjnych gałęziach przemysłu. Wzrośnie natomiast liczba pracujących w usługach oraz przemysłach wysokiej techniki. Jest pewne, że w najbliższych latach </w:t>
      </w:r>
      <w:r w:rsidRPr="00737299">
        <w:rPr>
          <w:rFonts w:ascii="Times New Roman" w:hAnsi="Times New Roman"/>
          <w:sz w:val="24"/>
          <w:szCs w:val="24"/>
        </w:rPr>
        <w:lastRenderedPageBreak/>
        <w:t xml:space="preserve">gospodarka nie jest w stanie wygenerować tylu nowych miejsc pracy w usługach i przemyśle związanym z wysoką techniką. W związku z tym przesunięcia, które nastąpią związane będą z mniejszą skalą. Jednak docelowo wymagało to będzie stworzenia kilku milionów nowych miejsc pracy. </w:t>
      </w:r>
    </w:p>
    <w:p w:rsidR="00737299" w:rsidRPr="00737299" w:rsidRDefault="00737299" w:rsidP="007372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 xml:space="preserve">Następnym zasadniczym czynnikiem wpływającym na zatrudnienie w gospodarce będzie kwestia związana z założonym poziomem likwidacji bezrobocia. Obecna wielkość jest zdecydowanie zbyt wysoka, konieczne jest więc jej obniżenie. Od wysokości obniżki uzależniona będzie potrzebna ilość nowych miejsc pracy. </w:t>
      </w:r>
    </w:p>
    <w:p w:rsidR="00737299" w:rsidRPr="00737299" w:rsidRDefault="00737299" w:rsidP="007372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 xml:space="preserve">Trzeci czynnik dotyczy przyrostu zasobów pracy (szczególnie ludzi młodych), których chcemy (a w zasadzie myśląc o wzroście gospodarczym w przyszłości – musimy)  „ściągnąć” z emigracji do kraju. Obecnie ok. 2-3 mln Polaków pracuje za granicą, ponieważ nie mogło znaleźć pracy na miejscu. </w:t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ab/>
        <w:t>Koniecznie jest zwiększenie zatrudnienia osób w wieku 20-64 lat, które jest w Polsce, niskie. Osiągnięcie zadowalającego tempa wzrostu gospodarczego, według danych rządowych, wymaga wzrostu wskaźnika zatrudnienia z 60% w roku 2010 do 71% w 2030 roku. UE, natomiast w Strategii Europa 2020 zakłada zwiększenie tego współczynnika w 2020 roku do poziomu 75% oraz wydłużenia aktywności zawodowej i przesunięcia wieku wyjścia z rynku pracy, który dzisiaj jest na poziomie ok. 58,5 lat (w Polsce tylko 34% populacji w wieku 55-64 lata pracuje, a w krajach UE ten wskaźnik wynosi 45%). Wymaga to stworzenia dodatkowych miejsc pracy o ok. milion.</w:t>
      </w:r>
    </w:p>
    <w:p w:rsidR="00737299" w:rsidRPr="00737299" w:rsidRDefault="00737299" w:rsidP="007372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7299">
        <w:rPr>
          <w:rFonts w:ascii="Times New Roman" w:hAnsi="Times New Roman"/>
          <w:b/>
          <w:sz w:val="24"/>
          <w:szCs w:val="24"/>
        </w:rPr>
        <w:t>Stopa zatrudnienia w UE-28 (w %)</w:t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BE89387" wp14:editId="54709522">
            <wp:extent cx="5716905" cy="2440940"/>
            <wp:effectExtent l="0" t="0" r="0" b="0"/>
            <wp:docPr id="4" name="Wykres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37299">
        <w:rPr>
          <w:rFonts w:ascii="Times New Roman" w:hAnsi="Times New Roman"/>
          <w:sz w:val="20"/>
          <w:szCs w:val="20"/>
        </w:rPr>
        <w:lastRenderedPageBreak/>
        <w:t>Źródło: Eurostat.</w:t>
      </w:r>
    </w:p>
    <w:p w:rsidR="00737299" w:rsidRPr="00737299" w:rsidRDefault="00737299" w:rsidP="007372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7299" w:rsidRPr="00737299" w:rsidRDefault="00737299" w:rsidP="007372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>Ważne jest również przywrócenie na rynek pracy osób niepełnosprawnych. Powinniśmy zwiększyć wskaźnik zatrudnienia tej grupy osób z obecnych 17% do 34% (dzisiejsza średnia europejska) w roku 2030, co da poczucie włączenia społecznego, dodatkowo 250 tysiącom ludzi.</w:t>
      </w:r>
    </w:p>
    <w:p w:rsidR="00737299" w:rsidRPr="00737299" w:rsidRDefault="00737299" w:rsidP="007372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>Zaprezentowana powyżej, syntetyczna analiza pokazuje, że zmniejszenie bezrobocia w Polsce wymaga stworzenia w najbliższych latach kilku milionów miejsc pracy, aby wydatnie zmniejszyć bezrobocie jawne i ukryte. W innym przypadku cały czas będziemy mieli do czynienia z dużym bezrobociem w kraju i dalszą emigracją społeczeństwa, co negatywnie wpłynie na wzrost gospodarczy.</w:t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ab/>
        <w:t>Ponadto należy pamiętać, że charakterystyczną cechą polskiego rynku pracy jest znacznie większe niż w innych krajach Wspólnoty skorelowanie bezrobocia z ubóstwem, a nawet wykluczeniem społecznym. Ponad 50% społeczeństwa żyje poniżej minimum socjalnego, a ponad 10% poniżej granicy minimum egzystencji. W wielu polskich rodzinach dzieci i młodzież żyje w biedzie lub niedostatku. Dotyczy to szczególnie rodzin bezrobotnych, rodzin wielodzietnych i niepełnych oraz żyjących na terenach byłych PGR-ów, gdzie wykształciła się kultura nędzy.  Dlatego też, ważne jest by ze wzrostem zatrudnienia w gospodarce następował systematyczny:</w:t>
      </w:r>
    </w:p>
    <w:p w:rsidR="00737299" w:rsidRPr="00737299" w:rsidRDefault="00737299" w:rsidP="00737299">
      <w:pPr>
        <w:numPr>
          <w:ilvl w:val="0"/>
          <w:numId w:val="3"/>
        </w:numPr>
        <w:spacing w:after="0" w:line="360" w:lineRule="auto"/>
        <w:ind w:left="284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 xml:space="preserve">Wzrost dochodów. </w:t>
      </w:r>
    </w:p>
    <w:p w:rsidR="00737299" w:rsidRPr="00737299" w:rsidRDefault="00737299" w:rsidP="00737299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 xml:space="preserve">W 2013 roku siła nabywcza (łączna kwota pieniędzy, jaką konsumenci mogą przeznaczyć na żywność, usługi, wydatki mieszkaniowe i inne konsumenckie) w Polsce wynosiła 5879 euro na mieszkańca. To około połowy średniej europejskiej wynoszącej 12890 euro. Największa wartość siły nabywczej na mieszkańca była w Liechtensteinie (58844 euro), Szwajcarii (36352 euro) i Norwegii (31707 euro). Wysoką pozycję zajmują również Luksemburg (28185 euro), Szwecja (21640 euro), Austria (21295 euro), Dania (21161 euro), Niemcy (20621 euro), Francja (19565 euro) i Finlandia (19445 euro). Dużo wyższą wartość odnotowują również Portugalia (10018 euro) i Hiszpania (prawie 12400 euro).  </w:t>
      </w:r>
    </w:p>
    <w:p w:rsidR="00737299" w:rsidRPr="00737299" w:rsidRDefault="00737299" w:rsidP="0073729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 xml:space="preserve">Spadek rozpiętości dochodów. </w:t>
      </w:r>
    </w:p>
    <w:p w:rsidR="00737299" w:rsidRDefault="00737299" w:rsidP="00737299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 xml:space="preserve">Nierówności w dochodach społeczeństwa wpływają na znaczne różnice w sile nabywczej poszczególnych regionów Polski. </w:t>
      </w:r>
    </w:p>
    <w:p w:rsidR="00737299" w:rsidRPr="00737299" w:rsidRDefault="00737299" w:rsidP="00737299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lastRenderedPageBreak/>
        <w:t>Siła nabywcza na mieszkańca w Warszawie (10.478 euro) jest wyższa o 78,5 % od średniej krajowej i aż o 112,5 % wyższa niż w powiecie przemyskim, w którym jest ona najniższa. Równie wysoka jest we Wrocławiu (7929 euro) i Poznaniu (7431 euro). Cechą charakterystyczną krajów wysokorozwiniętych (do których chcemy się zaliczać) są zdecydowanie niższe różnice. Przykładowo w Republice Czeskiej, siła nabywcza w regionie stołecznym Hlavni mesto Praha jest już około 30 % wyższa od średniej krajowej, a w przypadku stolicy Norwegii- Oslo, jest to tylko 11 % więcej siły nabywczej niż średnia krajowa.</w:t>
      </w:r>
    </w:p>
    <w:p w:rsidR="00737299" w:rsidRPr="00737299" w:rsidRDefault="00737299" w:rsidP="007372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>Zmiany w poziomie wynagrodzenia i rozpiętości dochodów są konieczne, ponieważ  pozwolą na poprawę jakości życia Polaków.</w:t>
      </w:r>
    </w:p>
    <w:p w:rsidR="00737299" w:rsidRPr="00737299" w:rsidRDefault="00737299" w:rsidP="0073729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7299">
        <w:rPr>
          <w:rFonts w:ascii="Times New Roman" w:hAnsi="Times New Roman"/>
          <w:sz w:val="24"/>
          <w:szCs w:val="24"/>
        </w:rPr>
        <w:t>Reasumując należy zwrócić uwagę, że z uwagi na duże problemy czekające Polskę na rynku pracy duże znaczenie przypadać będzie polityce gospodarczej. Stabilny i długotrwały rozwój gospodarczy wymaga od państwa odpowiedniej polityki gospodarczej, która pozwoli na skorelowanie podaż z popytem na pracę i zapewni systematyczny wzrost realny wynagrodzeń. Wpłynie to na niskie bezrobocie, stabilność ekonomiczną ludności i w konsekwencji zapewni odpowiednią dynamikę przyrostu naturalnego i wzrost innowacyjności gospodarki.</w:t>
      </w:r>
    </w:p>
    <w:p w:rsidR="00737299" w:rsidRPr="00737299" w:rsidRDefault="00737299" w:rsidP="00737299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  <w:r w:rsidRPr="00737299">
        <w:rPr>
          <w:rFonts w:ascii="Times New Roman" w:hAnsi="Times New Roman"/>
          <w:sz w:val="24"/>
          <w:szCs w:val="24"/>
        </w:rPr>
        <w:t>Prof. Sławomir Jankiewicz</w:t>
      </w:r>
    </w:p>
    <w:p w:rsidR="000104E8" w:rsidRPr="000104E8" w:rsidRDefault="000104E8" w:rsidP="009C02D4">
      <w:pPr>
        <w:jc w:val="right"/>
        <w:rPr>
          <w:rFonts w:ascii="Times New Roman" w:hAnsi="Times New Roman"/>
          <w:sz w:val="24"/>
          <w:szCs w:val="24"/>
        </w:rPr>
      </w:pPr>
    </w:p>
    <w:sectPr w:rsidR="000104E8" w:rsidRPr="000104E8" w:rsidSect="001621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1D" w:rsidRDefault="000C541D" w:rsidP="008115D0">
      <w:pPr>
        <w:spacing w:after="0" w:line="240" w:lineRule="auto"/>
      </w:pPr>
      <w:r>
        <w:separator/>
      </w:r>
    </w:p>
  </w:endnote>
  <w:endnote w:type="continuationSeparator" w:id="0">
    <w:p w:rsidR="000C541D" w:rsidRDefault="000C541D" w:rsidP="008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-189629</wp:posOffset>
          </wp:positionH>
          <wp:positionV relativeFrom="paragraph">
            <wp:posOffset>-140173</wp:posOffset>
          </wp:positionV>
          <wp:extent cx="6109926" cy="929591"/>
          <wp:effectExtent l="19050" t="0" r="5124" b="0"/>
          <wp:wrapNone/>
          <wp:docPr id="2" name="Obraz 1" descr="stopka1logoK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logoK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9926" cy="929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E7B" w:rsidRDefault="00341E7B">
    <w:pPr>
      <w:pStyle w:val="Stopka"/>
      <w:rPr>
        <w:noProof/>
        <w:lang w:eastAsia="pl-PL"/>
      </w:rPr>
    </w:pPr>
  </w:p>
  <w:p w:rsidR="00341E7B" w:rsidRDefault="00341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1D" w:rsidRDefault="000C541D" w:rsidP="008115D0">
      <w:pPr>
        <w:spacing w:after="0" w:line="240" w:lineRule="auto"/>
      </w:pPr>
      <w:r>
        <w:separator/>
      </w:r>
    </w:p>
  </w:footnote>
  <w:footnote w:type="continuationSeparator" w:id="0">
    <w:p w:rsidR="000C541D" w:rsidRDefault="000C541D" w:rsidP="0081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 w:rsidP="008115D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-596966</wp:posOffset>
          </wp:positionH>
          <wp:positionV relativeFrom="paragraph">
            <wp:posOffset>-307690</wp:posOffset>
          </wp:positionV>
          <wp:extent cx="7012371" cy="1040524"/>
          <wp:effectExtent l="19050" t="0" r="0" b="0"/>
          <wp:wrapNone/>
          <wp:docPr id="1" name="Obraz 0" descr="naglowek3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3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2371" cy="104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E7B" w:rsidRDefault="00341E7B" w:rsidP="008115D0">
    <w:pPr>
      <w:pStyle w:val="Nagwek"/>
      <w:jc w:val="center"/>
    </w:pPr>
  </w:p>
  <w:p w:rsidR="00341E7B" w:rsidRDefault="00341E7B" w:rsidP="008115D0">
    <w:pPr>
      <w:pStyle w:val="Nagwek"/>
      <w:jc w:val="center"/>
    </w:pPr>
  </w:p>
  <w:p w:rsidR="00341E7B" w:rsidRDefault="00341E7B" w:rsidP="008115D0">
    <w:pPr>
      <w:pStyle w:val="Nagwek"/>
      <w:jc w:val="center"/>
    </w:pPr>
  </w:p>
  <w:p w:rsidR="00341E7B" w:rsidRPr="008115D0" w:rsidRDefault="00341E7B" w:rsidP="008115D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6C41"/>
    <w:multiLevelType w:val="hybridMultilevel"/>
    <w:tmpl w:val="74BE2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F872BF"/>
    <w:multiLevelType w:val="hybridMultilevel"/>
    <w:tmpl w:val="43C2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63B06"/>
    <w:multiLevelType w:val="hybridMultilevel"/>
    <w:tmpl w:val="18F6F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0B"/>
    <w:rsid w:val="000104E8"/>
    <w:rsid w:val="00013015"/>
    <w:rsid w:val="000C541D"/>
    <w:rsid w:val="00162100"/>
    <w:rsid w:val="00172802"/>
    <w:rsid w:val="00173AD0"/>
    <w:rsid w:val="001E619A"/>
    <w:rsid w:val="00216A07"/>
    <w:rsid w:val="003022B2"/>
    <w:rsid w:val="00341E7B"/>
    <w:rsid w:val="003E3B0B"/>
    <w:rsid w:val="00403117"/>
    <w:rsid w:val="00737299"/>
    <w:rsid w:val="008115D0"/>
    <w:rsid w:val="008D490D"/>
    <w:rsid w:val="009734FD"/>
    <w:rsid w:val="009C02D4"/>
    <w:rsid w:val="009D7886"/>
    <w:rsid w:val="00B854F1"/>
    <w:rsid w:val="00BB56CD"/>
    <w:rsid w:val="00C03972"/>
    <w:rsid w:val="00C04F7C"/>
    <w:rsid w:val="00E56CC9"/>
    <w:rsid w:val="00F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5D0"/>
  </w:style>
  <w:style w:type="paragraph" w:styleId="Stopka">
    <w:name w:val="footer"/>
    <w:basedOn w:val="Normalny"/>
    <w:link w:val="Stopka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5D0"/>
  </w:style>
  <w:style w:type="paragraph" w:styleId="Tekstdymka">
    <w:name w:val="Balloon Text"/>
    <w:basedOn w:val="Normalny"/>
    <w:link w:val="TekstdymkaZnak"/>
    <w:uiPriority w:val="99"/>
    <w:semiHidden/>
    <w:unhideWhenUsed/>
    <w:rsid w:val="008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5D0"/>
  </w:style>
  <w:style w:type="paragraph" w:styleId="Stopka">
    <w:name w:val="footer"/>
    <w:basedOn w:val="Normalny"/>
    <w:link w:val="Stopka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5D0"/>
  </w:style>
  <w:style w:type="paragraph" w:styleId="Tekstdymka">
    <w:name w:val="Balloon Text"/>
    <w:basedOn w:val="Normalny"/>
    <w:link w:val="TekstdymkaZnak"/>
    <w:uiPriority w:val="99"/>
    <w:semiHidden/>
    <w:unhideWhenUsed/>
    <w:rsid w:val="008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Arkusz1!$B$121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Arkusz1!$A$122:$A$148</c:f>
              <c:strCache>
                <c:ptCount val="27"/>
                <c:pt idx="0">
                  <c:v>Belgia</c:v>
                </c:pt>
                <c:pt idx="1">
                  <c:v>Bułgaria</c:v>
                </c:pt>
                <c:pt idx="2">
                  <c:v>Czechy</c:v>
                </c:pt>
                <c:pt idx="3">
                  <c:v>Dania</c:v>
                </c:pt>
                <c:pt idx="4">
                  <c:v>Niemcy</c:v>
                </c:pt>
                <c:pt idx="5">
                  <c:v>Estonia</c:v>
                </c:pt>
                <c:pt idx="6">
                  <c:v>Irlandia</c:v>
                </c:pt>
                <c:pt idx="7">
                  <c:v>Grecja</c:v>
                </c:pt>
                <c:pt idx="8">
                  <c:v>Hiszpania</c:v>
                </c:pt>
                <c:pt idx="9">
                  <c:v>Francja</c:v>
                </c:pt>
                <c:pt idx="10">
                  <c:v>Chorwacja</c:v>
                </c:pt>
                <c:pt idx="11">
                  <c:v>Włochy</c:v>
                </c:pt>
                <c:pt idx="12">
                  <c:v>Cypr</c:v>
                </c:pt>
                <c:pt idx="13">
                  <c:v>Łotwa</c:v>
                </c:pt>
                <c:pt idx="14">
                  <c:v>Litwa</c:v>
                </c:pt>
                <c:pt idx="15">
                  <c:v>Luksemburg</c:v>
                </c:pt>
                <c:pt idx="16">
                  <c:v>Węgry</c:v>
                </c:pt>
                <c:pt idx="17">
                  <c:v>Malta</c:v>
                </c:pt>
                <c:pt idx="18">
                  <c:v>Holandia</c:v>
                </c:pt>
                <c:pt idx="19">
                  <c:v>Austria</c:v>
                </c:pt>
                <c:pt idx="20">
                  <c:v>Polska</c:v>
                </c:pt>
                <c:pt idx="21">
                  <c:v>Portugalia</c:v>
                </c:pt>
                <c:pt idx="22">
                  <c:v>Rumunia</c:v>
                </c:pt>
                <c:pt idx="23">
                  <c:v>Słowenia</c:v>
                </c:pt>
                <c:pt idx="24">
                  <c:v>Słowacja</c:v>
                </c:pt>
                <c:pt idx="25">
                  <c:v>Finlandia</c:v>
                </c:pt>
                <c:pt idx="26">
                  <c:v>Szwecja</c:v>
                </c:pt>
              </c:strCache>
            </c:strRef>
          </c:cat>
          <c:val>
            <c:numRef>
              <c:f>Arkusz1!$B$122:$B$148</c:f>
              <c:numCache>
                <c:formatCode>General</c:formatCode>
                <c:ptCount val="27"/>
                <c:pt idx="0">
                  <c:v>8.4</c:v>
                </c:pt>
                <c:pt idx="1">
                  <c:v>12.9</c:v>
                </c:pt>
                <c:pt idx="2">
                  <c:v>6.9</c:v>
                </c:pt>
                <c:pt idx="3">
                  <c:v>6.9</c:v>
                </c:pt>
                <c:pt idx="4">
                  <c:v>5.2</c:v>
                </c:pt>
                <c:pt idx="5">
                  <c:v>9</c:v>
                </c:pt>
                <c:pt idx="6">
                  <c:v>12.3</c:v>
                </c:pt>
                <c:pt idx="7">
                  <c:v>27.4</c:v>
                </c:pt>
                <c:pt idx="8">
                  <c:v>26.7</c:v>
                </c:pt>
                <c:pt idx="9">
                  <c:v>10.8</c:v>
                </c:pt>
                <c:pt idx="10">
                  <c:v>18.600000000000001</c:v>
                </c:pt>
                <c:pt idx="11">
                  <c:v>12.7</c:v>
                </c:pt>
                <c:pt idx="12">
                  <c:v>17.3</c:v>
                </c:pt>
                <c:pt idx="13">
                  <c:v>12</c:v>
                </c:pt>
                <c:pt idx="14">
                  <c:v>11.3</c:v>
                </c:pt>
                <c:pt idx="15">
                  <c:v>6.1</c:v>
                </c:pt>
                <c:pt idx="16">
                  <c:v>9.5</c:v>
                </c:pt>
                <c:pt idx="17">
                  <c:v>6.4</c:v>
                </c:pt>
                <c:pt idx="18">
                  <c:v>6.9</c:v>
                </c:pt>
                <c:pt idx="19">
                  <c:v>4.8</c:v>
                </c:pt>
                <c:pt idx="20">
                  <c:v>10.200000000000001</c:v>
                </c:pt>
                <c:pt idx="21">
                  <c:v>15.5</c:v>
                </c:pt>
                <c:pt idx="22">
                  <c:v>7</c:v>
                </c:pt>
                <c:pt idx="23">
                  <c:v>9.9</c:v>
                </c:pt>
                <c:pt idx="24">
                  <c:v>14</c:v>
                </c:pt>
                <c:pt idx="25">
                  <c:v>8.4</c:v>
                </c:pt>
                <c:pt idx="2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220800"/>
        <c:axId val="99602432"/>
      </c:barChart>
      <c:catAx>
        <c:axId val="90220800"/>
        <c:scaling>
          <c:orientation val="minMax"/>
        </c:scaling>
        <c:delete val="0"/>
        <c:axPos val="b"/>
        <c:majorTickMark val="out"/>
        <c:minorTickMark val="none"/>
        <c:tickLblPos val="nextTo"/>
        <c:crossAx val="99602432"/>
        <c:crosses val="autoZero"/>
        <c:auto val="1"/>
        <c:lblAlgn val="ctr"/>
        <c:lblOffset val="100"/>
        <c:noMultiLvlLbl val="0"/>
      </c:catAx>
      <c:valAx>
        <c:axId val="99602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2208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50" baseline="0">
          <a:latin typeface="Times New Roman" pitchFamily="18" charset="0"/>
          <a:cs typeface="Times New Roman" pitchFamily="18" charset="0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Arkusz1!$B$81</c:f>
              <c:strCache>
                <c:ptCount val="1"/>
                <c:pt idx="0">
                  <c:v>współczynniki zatrudnienia</c:v>
                </c:pt>
              </c:strCache>
            </c:strRef>
          </c:tx>
          <c:marker>
            <c:symbol val="none"/>
          </c:marker>
          <c:cat>
            <c:numRef>
              <c:f>Arkusz1!$A$82:$A$94</c:f>
              <c:numCache>
                <c:formatCode>General</c:formatCode>
                <c:ptCount val="13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</c:numCache>
            </c:numRef>
          </c:cat>
          <c:val>
            <c:numRef>
              <c:f>Arkusz1!$B$82:$B$94</c:f>
              <c:numCache>
                <c:formatCode>General</c:formatCode>
                <c:ptCount val="13"/>
                <c:pt idx="0">
                  <c:v>63.2</c:v>
                </c:pt>
                <c:pt idx="1">
                  <c:v>64.5</c:v>
                </c:pt>
                <c:pt idx="2">
                  <c:v>65.400000000000006</c:v>
                </c:pt>
                <c:pt idx="3">
                  <c:v>67</c:v>
                </c:pt>
                <c:pt idx="4">
                  <c:v>67.400000000000006</c:v>
                </c:pt>
                <c:pt idx="5">
                  <c:v>68</c:v>
                </c:pt>
                <c:pt idx="6">
                  <c:v>69</c:v>
                </c:pt>
                <c:pt idx="7">
                  <c:v>69.900000000000006</c:v>
                </c:pt>
                <c:pt idx="8">
                  <c:v>70.3</c:v>
                </c:pt>
                <c:pt idx="9">
                  <c:v>68.900000000000006</c:v>
                </c:pt>
                <c:pt idx="10">
                  <c:v>68.5</c:v>
                </c:pt>
                <c:pt idx="11">
                  <c:v>68.5</c:v>
                </c:pt>
                <c:pt idx="12">
                  <c:v>68.5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145792"/>
        <c:axId val="100151680"/>
      </c:lineChart>
      <c:catAx>
        <c:axId val="100145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151680"/>
        <c:crosses val="autoZero"/>
        <c:auto val="1"/>
        <c:lblAlgn val="ctr"/>
        <c:lblOffset val="100"/>
        <c:noMultiLvlLbl val="0"/>
      </c:catAx>
      <c:valAx>
        <c:axId val="10015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145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3C018-6D29-4390-B578-0C3A9979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Nawrot</dc:creator>
  <cp:lastModifiedBy>Biuro</cp:lastModifiedBy>
  <cp:revision>7</cp:revision>
  <cp:lastPrinted>2012-08-31T09:12:00Z</cp:lastPrinted>
  <dcterms:created xsi:type="dcterms:W3CDTF">2014-02-18T13:48:00Z</dcterms:created>
  <dcterms:modified xsi:type="dcterms:W3CDTF">2015-01-26T12:53:00Z</dcterms:modified>
</cp:coreProperties>
</file>